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CC10D8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CC10D8" w:rsidRDefault="00BC629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CC10D8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</w:tr>
      <w:tr w:rsidR="00CC10D8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CC10D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CC10D8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01.01.2024</w:t>
            </w:r>
          </w:p>
        </w:tc>
      </w:tr>
      <w:tr w:rsidR="00CC10D8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</w:tr>
      <w:tr w:rsidR="00CC10D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0"/>
              </w:rPr>
            </w:pPr>
          </w:p>
        </w:tc>
      </w:tr>
      <w:tr w:rsidR="00CC10D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0"/>
              </w:rPr>
            </w:pPr>
          </w:p>
        </w:tc>
      </w:tr>
      <w:tr w:rsidR="00CC10D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0"/>
              </w:rPr>
            </w:pPr>
          </w:p>
        </w:tc>
      </w:tr>
      <w:tr w:rsidR="00CC10D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0"/>
              </w:rPr>
            </w:pPr>
          </w:p>
        </w:tc>
      </w:tr>
      <w:tr w:rsidR="00CC10D8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Усть-Коксинский район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092</w:t>
            </w:r>
          </w:p>
        </w:tc>
      </w:tr>
      <w:tr w:rsidR="00CC10D8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</w:tr>
      <w:tr w:rsidR="00CC10D8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Собственный бюджет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CC10D8" w:rsidRDefault="00BC629D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84640000</w:t>
            </w:r>
          </w:p>
        </w:tc>
      </w:tr>
      <w:tr w:rsidR="00CC10D8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</w:tr>
      <w:tr w:rsidR="00CC10D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CC10D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</w:tr>
      <w:tr w:rsidR="00CC10D8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</w:tr>
    </w:tbl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1. Организационная структура субъекта бюджетной отчетности 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управление Администрации Муниципального образования «Усть-Коксинский район» Республики Алтай является структурным подразделением Администрации Муниципального образования «Усть-Коксинский район», осуществляющим функции по реализации финансовой (бюджетной,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налоговой) политики в Муниципальном образовании «Усть-Коксинский район» Республики Алтай.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Полное наименование: Финансовое управление Администрации Муниципального образования «Усть-Коксинский район» Республики Алтай. Сокращенное наименование: Финансовое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Администрации МО «Усть-Коксинский район» РА.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Юридический и фактический адрес: 649490, Республика Алтай, Усть-Коксинский район,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Усть-Кокса, ул. Харитошкина, д. 3.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ИНН 0406004246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КПП 040401001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ОГРН  1030400563423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Основными задачами управления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проведение бюджетной политики, обеспечивающей долгосрочную устойчивость бюджета муниципального образования;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проведение налоговой политики, обеспечивающей укрепление доходной базы бюджета муниципального образования;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составление проекта и орг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анизация исполнения бюджета муниципального образования и бюджетной отчетности;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совершенствование межбюджетных отношений в муниципальном образовании;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осуществление финансового контроля, за целевым использованием бюджетных средств, выделяемых из бюджета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обеспечение деятельности Управления;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повышение качества и доступности финансовой информации.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состоянию на 01.01.2024 года общее количество муниципальных учреждений составило 42 учреждения, в том числе 6 учреждений относят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 органам власти, 5 казенных учреждений, 29 бюджетных учреждений, 2 автономных учреждений. 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Все учреждения являются юридическими лицами, имеют гербовую печать, штампы и осуществляют свою деятельность в соответствии с законодательством, иными правовыми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актами Российской Федерации, Республики Алтай и МО «Усть-Коксинский район» РА.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 осуществляют деятельность в сфере организации вопросов местного значения и выполнения функций сферы муниципального управления, обеспечивают проведение единой политик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области финансов и осуществляют общее руководство организацией финансов на территории муниципального образования, проводят работу по формированию и исполнению бюджета,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обеспечивают реализацию полномочий внешнего муниципального финансового контроля, обе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спечивают контроль по вопросам владения, пользования  и распоряжения муниципальным имуществом, осуществляют консультирование по вопросам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коммерческой деятельности и управления, управляют мероприятиями по гражданской обороне и предупреждению чрезвычайных 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туаций на территории муниципального образования "Усть-Коксинский район, обеспечивают выполнение  исполнительных и управленческих функций в сфере образования, осуществление государственной политики в области дошкольного, основного общего, среднего (полного)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дополнительного образования, молодежной политики, обеспечивают реализацию дополнительных программ и услуг в интересах личности, общества, государства в сфере изобразительного, музыкального и хореографического искусства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обеспечивают  организацию и провед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ение культурно-досугового обслуживания населения, обеспечивают организацию досуга детей в учреждениях культуры, обеспечивают хранение, собирание, изучение, и публикации музейных предметов и музейных коллекций, обеспечивают осуществление просветительской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 деятельности, организацию библиотечного обслуживания населения меж поселенческими библиотеками, комплектование и обеспечение сохранности их библиотечных фондов.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МО «Усть-Коксинский район» РА, Управление образования и молодежно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политики Администрации МО «Усть-Коксинский район» РА и Отдел культуры Администрации МО «Усть-Коксинский район» РА выполняют функции и полномочия учредителя в отношении подведомственных им бюджетных и автономных учреждений.</w:t>
      </w:r>
    </w:p>
    <w:p w:rsidR="00CC10D8" w:rsidRDefault="00BC629D">
      <w:pPr>
        <w:spacing w:line="288" w:lineRule="auto"/>
        <w:ind w:firstLine="72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состоянию на 01.01.2024 года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МО «Усть-Коксинский район» РА числиться 2 муниципальных унитарных предприятия. Учредителем является Администрация МО «Усть-Коксинский район» РА.</w:t>
      </w:r>
    </w:p>
    <w:p w:rsidR="00CC10D8" w:rsidRDefault="00BC629D">
      <w:pPr>
        <w:spacing w:line="288" w:lineRule="auto"/>
        <w:ind w:firstLine="72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Полномочия по ведению бухгалтерского учета в Управлении образования и молодежной политики МО «Усть-Коксински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район», Отделе культуры МО «Усть-Коксинский район» РА, Администрации МО «Усть-Коксинский район» РА, Совет депутатов  МО «Усть-Коксинский район» РА и КСО МО «Усть-Коксинский район» РА переданы в централизованные бухгалтерии.</w:t>
      </w:r>
    </w:p>
    <w:p w:rsidR="00CC10D8" w:rsidRDefault="00BC629D">
      <w:pPr>
        <w:spacing w:line="288" w:lineRule="auto"/>
        <w:ind w:firstLine="72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отчетном году не было измене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 типа и видов деятельности учреждений.</w:t>
      </w:r>
    </w:p>
    <w:p w:rsidR="00CC10D8" w:rsidRDefault="00BC629D">
      <w:pPr>
        <w:spacing w:line="288" w:lineRule="auto"/>
        <w:ind w:firstLine="72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Внешний государственный финансовый контроль осуществляет Контрольно-счетный орган Муниципального образования «Усть-Коксинский район» Республики Алтай.</w:t>
      </w:r>
    </w:p>
    <w:p w:rsidR="00CC10D8" w:rsidRDefault="00BC629D">
      <w:pPr>
        <w:spacing w:line="288" w:lineRule="auto"/>
        <w:ind w:firstLine="72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 2023 года финансовым управлением осуществлялся внутре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нний муниципальный финансовый контроль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утвержденного плана проверок.</w:t>
      </w:r>
    </w:p>
    <w:p w:rsidR="00CC10D8" w:rsidRDefault="00BC629D">
      <w:pPr>
        <w:spacing w:line="288" w:lineRule="auto"/>
        <w:ind w:firstLine="72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соглашением «О порядке и сроках представления бюджетной отчетности по доходам, администрируемым ФНС России» от 30.06.2021 года, бюджетная отчетность МО «Усть-Кок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синский район» содержит отчетность управления федеральной налоговой службы по Республики Алтай.</w:t>
      </w:r>
    </w:p>
    <w:p w:rsidR="00CC10D8" w:rsidRDefault="00BC629D">
      <w:pPr>
        <w:spacing w:line="288" w:lineRule="auto"/>
        <w:ind w:firstLine="72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РАЗДЕЛ 2. Результаты деятельности субъекта бюджетной отчетности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 и исполнение  бюджета в 2023 году осуществлялось в программном формате. На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района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 реализуются 12 муниципальных программ: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Муниципальная программа "Развитие экономического потенциала и предпринимательства МО "Усть-Коксинский район" Республики Алтай";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Муниципальная программа "Профилактика терроризма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экстремизма, гармонизация межнациональных отношений в МО "Усть-Коксинский район" Республики Алтай";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Муниципальная программа "Повышение систем жизнеобеспечения МО "Усть-Коксинский район" Республики Алтай";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Муниципальная программа "Доступная среда в МО 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Усть-Коксинский район" Республики Алтай;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Муниципальная программа "Обеспечение безопасности граждан, профилактика правонарушений, преступлений, наркомании и коррупции на территории МО "Усть-Коксинский район" Республики Алтай";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Муниципальная программа "У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правление муниципальными финансами МО "Усть-Коксинский район" Республики Алтай";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Муниципальная программа "Развитие образования МО "Усть-Коксинский район" Республики Алтай";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Муниципальная программа "Развитие культуры МО "УстьКоксинский район" Республики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Алтай";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Муниципальная программа "Управление муниципальным имуществом МО "Усть-Коксинский район" Республики Алтай";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Муниципальная программа "Улучшение условий и охраны труда МО "Усть-Коксинский район" Республики Алтай";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Муниципальная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"Развитие физической культуры, спорта и молодежной политики МО "Усть-Коксинский район" Республики Алтай";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Муниципальная программа "Развитие средств массовой информации на территории МО "Усть-Коксинский район" Республики Алтай".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74" w:lineRule="auto"/>
        <w:ind w:firstLine="72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целью реализаци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муниципальных программ является повышение благосостояния и качества жизни населения муниципального района. По каждой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муниципальной программе, подпрограмме, по основному мероприятию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целевые индика.</w:t>
      </w:r>
    </w:p>
    <w:p w:rsidR="00CC10D8" w:rsidRDefault="00BC629D">
      <w:pPr>
        <w:spacing w:line="274" w:lineRule="auto"/>
        <w:ind w:firstLine="720"/>
        <w:jc w:val="both"/>
        <w:outlineLvl w:val="1"/>
        <w:rPr>
          <w:b/>
          <w:color w:val="000000"/>
          <w:sz w:val="3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Сельскими поселениями в целях оптимизации бюд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жетных расходов передаются полномочия муниципальному району по соглашениям: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«На выдачу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объектов в эксплуатацию при осуществлении строительства, реконструкции объектов капитального строительства, расположенных на территории поселения, осмотров зданий, сооружений и выдача рекомендаций об устранении выявленных в ходе таких осмотров нарушений»: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«О передаче полномочий по осуществлению внутреннего муниципального финансового контроля».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 отчетного периода штатная численность  работников составила 183,65 ставки.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2023 году в учреждениях прошли обучение на курсах повышения квалификации и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фессиональной переподготовке кадров 1 сотрудник. В связи с профессиональными стандартами разработаны планы по повышению квалификации и профессиональной переподготовке сотрудников. Все сотрудники соответствуют профессиональным стандартам.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Для автоматизации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функций учреждений, ведение бюджетного учета осуществляется с помощью программного обеспечения «Парус», «1С-предприятие», «Криста».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средства находятся в исправном техническом состоянии.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Учреждениями осуществляется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улучшением состояния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сохранности основных средств. Для поддержания оборудования в рабочем состоянии учреждениями производится по мере необходимости и наличия бюджетных средств техническое обслуживание и ремонт. 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Сохранность имущества обеспечивается посредством их закреплени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за материально-ответственными лицами и своевременным проведением инвентаризации имущества.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Закупка материальных запасов (в т.ч. тепло энергоресурсов) осуществляется своевременно. Потребление тепло энергоресурсов осуществляется согласно нормативам.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Закупк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товаров, работ и услуг для обеспечения государственных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муниципальных нужд осуществляться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ьных нужд".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3. Анализ отчета об исполнении бюджета субъектом бюджетной отчетности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CC10D8" w:rsidRDefault="00BC629D">
      <w:pPr>
        <w:numPr>
          <w:ilvl w:val="0"/>
          <w:numId w:val="1"/>
        </w:numPr>
        <w:spacing w:line="288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ДОХОДЫ БЮДЖЕТА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Бюджет муниципального района за 2023 год исполнен по доходам в сумме  1 116 990 198,93 руб., или 99,97 процента  к  уточненному плану бюджета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района   117 269 808,76 руб.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Уточненные плановые назначения по налоговым и неналоговым доходам  бюджета МО «Усть-Коксинский район» на 2023 год в размере 261 586,90 тыс. руб., исполнены на 100,1 процента, что в сумме составило 261 724,900 тыс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руб. 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Фактическое поступление налоговых и неналоговых доходов бюджета МО «Усть-Коксинский район»  в 2023 году на 12,2 процента  или на 28 540,30 тыс. руб., больше  поступлений 2022 года. 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Уточненный годовой план по налоговым доходам бюджета МО «Усть-Кокс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инский район» в сумме 203 536,70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руб., исполнен на 99,0 процента.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Фактическое     поступление       составило 201 011,00 тыс. руб., что на 1 971,10 тыс. руб., меньше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поступлений 2022 года, темп снижения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составил 99,0 процента.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причинами увели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 налоговых доходов по сравнению с 2022 годом являются – увеличение количества налогоплательщиков, изменение налогового законодательства РФ, повышение заработной платы, изменение кадастровой стоимости.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Наибольшее увеличение произошло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НДФЛ: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2023 год  поступило  101 190,10 тыс. рублей налога, выполнение уточненного годового плана составило 101,0%.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отношению к 2022 году поступление налога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увеличилось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12 175,10 тыс. рублей,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темп роста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 113,7%. 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перевыполнения уточненных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 плановых назначений и роста поступлений налога по сравнению с 2022 годом: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Рост минимальной заработной платы с 01.01.2023г на 6,3%;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Повышение заработной платы работникам бюджетных  учреждений и муниципальным служащим с 1 октября 2022 года и с 1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ктября 2023г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Акцизы: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2023 год  поступило 17 732,60 тыс.  рублей налога. Выполнение уточненного годового плана  составило 104,0%. По отношению к 2022 году поступление налога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увеличилось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1 307,20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рублей,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темп роста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 108,0%. Причиной рос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поступлений является увеличение норматива к распределению в муниципальный район;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НИО: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2023 год  поступило 9 664,20 тыс. рублей налога. Выполнение  уточненного годового плана 100,0%.</w:t>
      </w:r>
    </w:p>
    <w:p w:rsidR="00CC10D8" w:rsidRDefault="00BC629D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отношению к 20212 году поступление налога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сократилось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4 629,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 рублей, темп снижения составил 67,6%.  </w:t>
      </w:r>
    </w:p>
    <w:p w:rsidR="00CC10D8" w:rsidRDefault="00BC629D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снижения поступлений налога по сравнению с 2022 годом:</w:t>
      </w:r>
    </w:p>
    <w:p w:rsidR="00CC10D8" w:rsidRDefault="00BC629D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Уменьшение поступлений в результате оплаты налогоплательщиками налога в счет предстоящих платежей в 2022 году (БУЗ РА "Усть-Коксинская РБ", МБОУ "Ч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ендекская средняя общеобразовательная школа", МБОУ "Усть-Коксинская СОШ", МБОУ "Карагайская СОШ").</w:t>
      </w:r>
    </w:p>
    <w:p w:rsidR="00CC10D8" w:rsidRDefault="00BC629D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Снижение налогооблагаемой базы в связи с изменением законодательства в правила ведения бухгалтерского учета с 01.01.2022 года (определение налоговой базы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минусом ликвидационной стоимости - ФСБУ 6/20) (ПАО "Россети Сибирь). За 2022 год от данного налогоплательщика пступило 1 076,10 тыс. руб., в аналогичном периоде 2023 года 49,50 тыс. руб.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НДПИ: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 2023 год  поступило 86,20 тыс. рублей налога. Выполнени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уточненного годового плана   83,7%.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отношению к 2022 году поступление налога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увеличилось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32,70 тыс. рублей, темп роста составил 161,20%.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Причиной невыполнения уточненных годовых плановых назначений является поднятие сумм переплаты НДПИ на ЕНП (изъятие из бюджета). В связи с наличием излишне уплаченных сумм налога по АО "Краевая Дорожно-Эксплуатационная Организация". 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Причиной роста поступле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 платежей по сравнению с 2022 годом является поступление сбора за пользование объектами животного мира от АО "Уч-Сумер" в сумме 21,90 тыс. рублей, в аналогичном периоде прошлого года данные платежи не поступали.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Courier New" w:eastAsia="Courier New" w:hAnsi="Courier New" w:cs="Courier New"/>
          <w:color w:val="000000"/>
        </w:rPr>
        <w:t> </w:t>
      </w:r>
    </w:p>
    <w:p w:rsidR="00CC10D8" w:rsidRDefault="00BC629D">
      <w:pPr>
        <w:spacing w:line="274" w:lineRule="auto"/>
        <w:ind w:left="720"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РАСХОДЫ БЮДЖЕТА</w:t>
      </w:r>
    </w:p>
    <w:p w:rsidR="00CC10D8" w:rsidRDefault="00BC629D">
      <w:pPr>
        <w:spacing w:line="276" w:lineRule="auto"/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 бюджета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униципального района за 2023 год по расходам составляет    1 109 733 561,15 руб. или  97,6  процента к уточненному плану бюджета муниципального района 1 137 299 014,74 руб. </w:t>
      </w:r>
    </w:p>
    <w:p w:rsidR="00CC10D8" w:rsidRDefault="00BC629D">
      <w:pPr>
        <w:spacing w:line="276" w:lineRule="auto"/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исполнения бюджета МО «Усть-Коксинский район» РА за 2023 год были реализова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   национальные проекты на сумму 2 309 185,32 руб.  в том числе:</w:t>
      </w:r>
    </w:p>
    <w:p w:rsidR="00CC10D8" w:rsidRDefault="00BC629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реализацию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 Национального проекта "Культура", Федерального проекта "Творческие люди"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реализованы бюджетные ассигнования на мероприятия:</w:t>
      </w:r>
    </w:p>
    <w:p w:rsidR="00CC10D8" w:rsidRDefault="00BC629D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-на государственную поддержку лучших сельских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реждений  культуры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учреждения  Администрации Муниципального  Образования "Усть-Коксинский район"  Республики  Алтай "Дом творчества и досуга") в сумме 103,1 тыс. руб.;</w:t>
      </w:r>
    </w:p>
    <w:p w:rsidR="00CC10D8" w:rsidRDefault="00BC629D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Федеральный проект "Успех каждого ребенка"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реализованы бюджетные асси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гнования на мероприятия:</w:t>
      </w:r>
    </w:p>
    <w:p w:rsidR="00CC10D8" w:rsidRDefault="00BC629D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общего образования, на создание в общеобразовательных организациях, расположенных в сельской местности и малых городах, условий для занятия физической культурой и спортом сумма (приобритение спортивного оборудования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МБОУ "Банновская ООШ") -1 633,7 тыс. руб.</w:t>
      </w:r>
    </w:p>
    <w:p w:rsidR="00CC10D8" w:rsidRDefault="00BC629D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Федеральный проект "Патриотическое воспитание граждан Российской Федерации"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реализованы бюджетные ассигнования на мероприятия:</w:t>
      </w:r>
    </w:p>
    <w:p w:rsidR="00CC10D8" w:rsidRDefault="00BC629D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Проведение мероприятий по обеспечению деятельности  советников директора по воспита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нию и взаимодействию с детскими обществеными объеденениями в общеобразовательных организациях- 572,4 тыс. руб.</w:t>
      </w:r>
    </w:p>
    <w:p w:rsidR="00CC10D8" w:rsidRDefault="00BC629D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 МО «Усть-Коксинский район» РА (без сельских поселений) исполнен с профицитом в сумме 7 256 637,78 руб.</w:t>
      </w:r>
    </w:p>
    <w:p w:rsidR="00CC10D8" w:rsidRDefault="00BC629D">
      <w:pPr>
        <w:spacing w:line="288" w:lineRule="auto"/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СОСТОЯНИЕ МУНИЦИПАЛЬНОГО Д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ОЛГА</w:t>
      </w:r>
    </w:p>
    <w:p w:rsidR="00CC10D8" w:rsidRDefault="00BC629D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состоянию на 01.01.2023 года объем муниципального долга МО «Усть-Коксинский район» составлял 3 200 000, 00 рублей, по состоянию на 01.01.2024 года объем муниципального долга составил   3 200 000,0 рублей. </w:t>
      </w:r>
    </w:p>
    <w:p w:rsidR="00CC10D8" w:rsidRDefault="00BC629D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Муниципальный долг за 2023 год остался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 3 200 000, 00 рублей.</w:t>
      </w:r>
    </w:p>
    <w:p w:rsidR="00CC10D8" w:rsidRDefault="00BC629D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Привлечено в 2023 году бюджетных кредитов из республиканского бюджета  на сумму 1 000 000,00 рублей. Погашено в 2023 году бюджетных кредитов по соглашениям, заключенным от имени муниципального образования на сумму 1 000 000,00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рублей. Остаток задолженности по состоянию на 01.01.2024 года перед республиканским  бюджетом по бюджетным кредитам составил 3 200 000,0 рублей.</w:t>
      </w:r>
    </w:p>
    <w:p w:rsidR="00CC10D8" w:rsidRDefault="00BC629D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программой муниципальных заимствований, утвержденной на 2023 год решением муниципального образ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 «О  бюджете муниципального образования «Усть-Коксинский район» на 2023 год и на плановый период 2024 и 2025 годов» было привлечено кредитов от кредитных организаций в сумме 0,00 рублей, вместо планируемых  0,00 рублей. Погашено кредитов в 2023 году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сумму 0,00 рублей,  по состоянию на 01.01.2024 года остаток задолженности перед кредитными организациями  составил 0,00 рублей.</w:t>
      </w:r>
    </w:p>
    <w:p w:rsidR="00CC10D8" w:rsidRDefault="00BC629D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Предоставлено муниципальных гарантий МО «Усть-Коксинский район» в 2023 году в сумме 0,00 рублей, погашено в сумме 0,00 рубле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в т.ч. исполнено  гарантом в сумме 0,00 рублей.  По состоянию на 01.01.2024 года остаток по предоставленным муниципальным гарантиям   составил 0,00 рублей.  </w:t>
      </w:r>
    </w:p>
    <w:p w:rsidR="00CC10D8" w:rsidRDefault="00BC629D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Объем муниципального  долга МО «Усть-Коксинский район» по состоянию на 01.01.2024 года  состав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 1,36% от годового объема доходов бюджета муниципального образования без учета объема безвозмездных поступлений. </w:t>
      </w:r>
    </w:p>
    <w:p w:rsidR="00CC10D8" w:rsidRDefault="00BC629D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 долг МО «Усть-Коксинский район»   не превышает предельные ограничения, установленные бюджетным законодательством и  решением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образования  «О  бюджете муниципального образования «Усть-Коксинский район» на 2023 год и на плановый период 2024 и 2025 годов». </w:t>
      </w:r>
    </w:p>
    <w:p w:rsidR="00CC10D8" w:rsidRDefault="00BC629D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2023 году на обслуживание муниципального долга направлено 3 290, 00  рублей, что не превышает предельные огра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ничения, установленные бюджетным законодательством и  утвержденные решением муниципального образования  «О  бюджете муниципального образования «Усть-Коксинский район» на 2023 год и на плановый период 2024 и 2025 годов» бюджетные ассигнования.  </w:t>
      </w:r>
    </w:p>
    <w:p w:rsidR="00CC10D8" w:rsidRDefault="00BC629D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долг сельских поселений на начало года составлял  0,00 рублей. За отчетный период бюджетами сельских поселений привлечено кредитов от кредитных организаций в сумме  0,00 рублей и бюджетных кредитов в сумме 0,00 рублей. Погашение муниципального долга  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кредитам кредитных организаций в 2032 году составило 0,00 рублей, по бюджетным кредитам составило 0,00 рублей. Муниципальный долг  сельских поселений  на конец отчетного года составил 0,00 рублей.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СВЕДЕНИЯ О ВЫПОЛНЕНИИ МУНИЦИПАЛЬНОГО ЗАДАНИЯ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состоянию на 01.01.2023 года, общее количество автономных и бюджетных учреждений получателей субсидий бюджета МО «Усть-Коксинский район» РА составляет 31 учреждение, в том числе 2 автономных учреждения. В течение 2023 года количество автономных и бюджетны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учреждений не изменилось.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Функции и полномочия учредителя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собственника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бюджетных и автономных учреждений осуществляют: Администрация МО «Усть-Коксинский район» РА, Управление образования и молодежной политики МО «Усть-Коксинский район» и  Отдел культур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МО «Усть-Коксинский район» РА.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Показатель исполнения доходной части плана финансово-хозяйственной деятельности автономных и бюджетных  учреждений  МО «Усть-Коксинский район» РА  за 2023 год по Субсидии на выполнение  муниципального  задания – исполнено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99,6%, утверждено 697 842 066,10 руб., поступило 695 117 350,58 руб.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исполнения плана финансово-хозяйственной деятельности автономных и бюджетных  учреждений  МО «Усть-Коксинский район» РА за 2023 год по расходам по Субсидии на выполнение  мун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иципального  задания – исполнено на 97,7%, утверждено 721 778 729,49 руб., исполнено 704 904 956,74 руб.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территории МО «Усть-Коксинский район» РА функционируют двадцать общеобразовательных учреждений. 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Муниципальными общеобразовательными учреждениями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азывались следующие муниципальные услуги:</w:t>
      </w:r>
    </w:p>
    <w:p w:rsidR="00CC10D8" w:rsidRDefault="00BC629D">
      <w:pPr>
        <w:numPr>
          <w:ilvl w:val="1"/>
          <w:numId w:val="2"/>
        </w:numPr>
        <w:spacing w:line="288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основных общеобразовательных программ начального общего образования;</w:t>
      </w:r>
    </w:p>
    <w:p w:rsidR="00CC10D8" w:rsidRDefault="00BC629D">
      <w:pPr>
        <w:numPr>
          <w:ilvl w:val="1"/>
          <w:numId w:val="2"/>
        </w:numPr>
        <w:spacing w:line="288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основных общеобразовательных программ основного общего образования;</w:t>
      </w:r>
    </w:p>
    <w:p w:rsidR="00CC10D8" w:rsidRDefault="00BC629D">
      <w:pPr>
        <w:numPr>
          <w:ilvl w:val="1"/>
          <w:numId w:val="2"/>
        </w:numPr>
        <w:spacing w:line="288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основных общеобразовательных программ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среднего общего образования;</w:t>
      </w:r>
    </w:p>
    <w:p w:rsidR="00CC10D8" w:rsidRDefault="00BC629D">
      <w:pPr>
        <w:numPr>
          <w:ilvl w:val="1"/>
          <w:numId w:val="2"/>
        </w:numPr>
        <w:spacing w:line="288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основных общеобразовательных программ дошкольного образования.</w:t>
      </w:r>
    </w:p>
    <w:p w:rsidR="00CC10D8" w:rsidRDefault="00BC629D">
      <w:pPr>
        <w:spacing w:line="288" w:lineRule="auto"/>
        <w:ind w:left="114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numPr>
          <w:ilvl w:val="0"/>
          <w:numId w:val="3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 «Реализация основных общеобразовательных программ начального общего образования»</w:t>
      </w:r>
    </w:p>
    <w:p w:rsidR="00CC10D8" w:rsidRDefault="00BC629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Категории потребителей муниципальной услуги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физические лица.</w:t>
      </w:r>
    </w:p>
    <w:p w:rsidR="00CC10D8" w:rsidRDefault="00BC629D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Показатели, характеризующие качество оказания услуги «Реализация основных общеобразовательных программ начального общего образования», в целом по учреждениям.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«Полнота реализации программ указанных в лицензиях»: план на 2023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- 100 %. На конец отчетного периода показатель имеет значение 100 %, что соответствует значению, указанному в муниципальном задании. 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«обесп. учеб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.»: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на 2023 год - 100 %. На конец отчетного периода показатель имеет значение 100 %, что соот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ветствует значению, указанному в муниципальном задании.</w:t>
      </w:r>
    </w:p>
    <w:p w:rsidR="00CC10D8" w:rsidRDefault="00BC629D">
      <w:pPr>
        <w:numPr>
          <w:ilvl w:val="0"/>
          <w:numId w:val="4"/>
        </w:numPr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 «Реализация основных общеобразовательных программ основного общего образования»</w:t>
      </w:r>
    </w:p>
    <w:p w:rsidR="00CC10D8" w:rsidRDefault="00BC629D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лица.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Показатели, характеризующие качество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казания услуги «Реализация основных общеобразовательных программ основного общего образования».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«обесп. учеб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.»: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на 2023 год - 100 %. На конец отчетного периода показатель имеет значение 100 %, что соответствует значению, указанному в муници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пальном задании.</w:t>
      </w:r>
    </w:p>
    <w:p w:rsidR="00CC10D8" w:rsidRDefault="00BC629D">
      <w:pPr>
        <w:numPr>
          <w:ilvl w:val="0"/>
          <w:numId w:val="5"/>
        </w:numPr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 «Реализация основных общеобразовательных программ среднего общего образования»</w:t>
      </w:r>
    </w:p>
    <w:p w:rsidR="00CC10D8" w:rsidRDefault="00BC629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лица.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Показатели, характеризующие качество оказания услуги «Реализация основных обще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образовательных программ среднего общего образования».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«Полнота реализации программ указанных в лицензиях»: план на 2023 год - 100 %. На конец отчетного периода показатель имеет значение 100 %, что соответствует значению, указанному в муниципаль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ном задании. 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Показатель «удовл. Род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.»: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 на 2023 год - 100 %. На конец отчетного периода показатель имеет значение 100 %, что соответствует значению, указанному в муниципальном задании. 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«обесп. учеб»: план на 2023 год - 100 %. На конец отче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тного периода показатель имеет значение 100 %, что соответствует значению, указанному в муниципальном задании.</w:t>
      </w:r>
    </w:p>
    <w:p w:rsidR="00CC10D8" w:rsidRDefault="00BC629D">
      <w:pPr>
        <w:numPr>
          <w:ilvl w:val="0"/>
          <w:numId w:val="6"/>
        </w:numPr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 «Реализация основных общеобразовательных программ дошкольного образования»</w:t>
      </w:r>
    </w:p>
    <w:p w:rsidR="00CC10D8" w:rsidRDefault="00BC629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Категории потребителей муниципальной услуги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физические лица.</w:t>
      </w:r>
    </w:p>
    <w:p w:rsidR="00CC10D8" w:rsidRDefault="00BC629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Показатели, характеризующие качество оказания услуги «Реализация основных общеобразовательных программ дошкольного образования».</w:t>
      </w:r>
    </w:p>
    <w:p w:rsidR="00CC10D8" w:rsidRDefault="00BC629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«Полнота реализации программ указанных в лицензиях»: план на 2023 год - 100 %. На конец отчетного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ериода показатель имеет значение 100 %, что соответствует значению, указанному в муниципальном задании. 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«Укомплектованность кадрами»: план на 2023 год - 100 %. На конец отчетного периода показатель имеет значение 100 %, что соответствует значен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ию, указанному в муниципальном задании.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«выпол. Норм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ит.»: план на 2023 год - 100 %. На конец отчетного периода показатель имеет значение 100 %, что соответствует значению, указанному в муниципальном задании.</w:t>
      </w:r>
    </w:p>
    <w:p w:rsidR="00CC10D8" w:rsidRDefault="00BC629D">
      <w:pPr>
        <w:spacing w:line="288" w:lineRule="auto"/>
        <w:ind w:left="1140"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о достижении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характеризующих объем муниципальной услуги приведены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таблице: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1160" w:type="dxa"/>
        <w:tblInd w:w="-52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4227"/>
        <w:gridCol w:w="1308"/>
        <w:gridCol w:w="1449"/>
        <w:gridCol w:w="1409"/>
        <w:gridCol w:w="1027"/>
        <w:gridCol w:w="1095"/>
      </w:tblGrid>
      <w:tr w:rsidR="00CC10D8">
        <w:trPr>
          <w:trHeight w:val="360"/>
        </w:trPr>
        <w:tc>
          <w:tcPr>
            <w:tcW w:w="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bookmarkStart w:id="1" w:name="_dx_frag_StartFragment"/>
            <w:bookmarkEnd w:id="1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4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Наименование муниципальной услуги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По плану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Фактически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Не исполнено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Причина неисполнения</w:t>
            </w:r>
          </w:p>
        </w:tc>
      </w:tr>
      <w:tr w:rsidR="00CC10D8">
        <w:trPr>
          <w:trHeight w:val="555"/>
        </w:trPr>
        <w:tc>
          <w:tcPr>
            <w:tcW w:w="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4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CC10D8">
            <w:pPr>
              <w:rPr>
                <w:color w:val="000000"/>
                <w:sz w:val="24"/>
              </w:rPr>
            </w:pPr>
          </w:p>
        </w:tc>
      </w:tr>
      <w:tr w:rsidR="00CC10D8">
        <w:trPr>
          <w:trHeight w:val="27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CC10D8">
        <w:trPr>
          <w:trHeight w:val="6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Реализация основных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общеобразовательных программ начального общего образования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1193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1193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C10D8">
        <w:trPr>
          <w:trHeight w:val="6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 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1536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1536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C10D8">
        <w:trPr>
          <w:trHeight w:val="6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Реализация основных общеобразовательных программ среднего общего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образования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C10D8">
        <w:trPr>
          <w:trHeight w:val="6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1009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1009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C10D8">
        <w:trPr>
          <w:trHeight w:val="3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CC10D8" w:rsidRDefault="00BC629D">
      <w:pPr>
        <w:spacing w:line="274" w:lineRule="auto"/>
        <w:ind w:hanging="560"/>
        <w:jc w:val="both"/>
        <w:rPr>
          <w:color w:val="000000"/>
        </w:rPr>
      </w:pPr>
      <w:bookmarkStart w:id="2" w:name="_dx_frag_EndFragment"/>
      <w:bookmarkEnd w:id="2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CC10D8" w:rsidRDefault="00BC629D">
      <w:pPr>
        <w:spacing w:line="274" w:lineRule="auto"/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МБУ дополнительного образования "Детский социальный оздоровительный лагерь Беловодье"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Муниципальная услуга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«Организация отдыха детей и молодежи»</w:t>
      </w:r>
    </w:p>
    <w:p w:rsidR="00CC10D8" w:rsidRDefault="00BC629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лица.</w:t>
      </w:r>
    </w:p>
    <w:p w:rsidR="00CC10D8" w:rsidRDefault="00BC629D">
      <w:pPr>
        <w:numPr>
          <w:ilvl w:val="2"/>
          <w:numId w:val="7"/>
        </w:numPr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Показатели, характеризующие качество оказания услуги «Организация отдыха детей и молодежи».</w:t>
      </w:r>
    </w:p>
    <w:p w:rsidR="00CC10D8" w:rsidRDefault="00BC629D">
      <w:pPr>
        <w:ind w:left="-180" w:firstLine="9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Показатель плана на 2023 год - 100%. На конец отчетного периода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имеет значение 100 %, что указанно в муниципальном задании.</w:t>
      </w:r>
    </w:p>
    <w:p w:rsidR="00CC10D8" w:rsidRDefault="00BC629D">
      <w:pPr>
        <w:numPr>
          <w:ilvl w:val="0"/>
          <w:numId w:val="8"/>
        </w:numPr>
        <w:ind w:left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Показатели, характеризующие объем муниципальной услуги «Организация отдыха детей и молодежи».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Показатель «Количество человек»: план на 2023 год - 270 человек. На конец отчетного периода показатель имеет значение 270 человек. Показатель достигнут. 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МБУ дополнительного образования "Усть-Коксинский Дом детского творчества"</w:t>
      </w:r>
    </w:p>
    <w:p w:rsidR="00CC10D8" w:rsidRDefault="00BC629D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 «Реал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изация дополнительных общеразвивающих программ»</w:t>
      </w:r>
    </w:p>
    <w:p w:rsidR="00CC10D8" w:rsidRDefault="00BC629D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лица.</w:t>
      </w:r>
    </w:p>
    <w:p w:rsidR="00CC10D8" w:rsidRDefault="00BC629D">
      <w:pPr>
        <w:numPr>
          <w:ilvl w:val="1"/>
          <w:numId w:val="9"/>
        </w:numPr>
        <w:ind w:left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Показатели, характеризующие качество оказания услуги «Дополнительное образование детей и взрослых».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плана на 2023 год - 100%. На конец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тчетного периода показатель имеет значение 100 %, что указанно в муниципальном задании.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Показатели, характеризующие объем муниципальной услуги «Дополнительное образование детей и взрослых».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«Количество человек»: план на 2023 год - 4800 челове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ко-часов. На конец отчетного периода показатель имеет значение 4800 человеко-часов. Показатель достигнут.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МБУ дополнительного образования "Усть-Коксинская детско-юношеская спортивная школа"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</w:t>
      </w:r>
      <w:r>
        <w:rPr>
          <w:rFonts w:ascii="Times New Roman" w:eastAsia="Times New Roman" w:hAnsi="Times New Roman" w:cs="Times New Roman"/>
          <w:b/>
          <w:color w:val="000000"/>
        </w:rPr>
        <w:t xml:space="preserve">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Реализация дополнительных общеразвивающих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программ»</w:t>
      </w:r>
    </w:p>
    <w:p w:rsidR="00CC10D8" w:rsidRDefault="00BC629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лица.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Показатели, характеризующие качество оказания услуги «Физкультурно-спортивная».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«Полнота» плана на 2023 год - 100%. На конец отчетного периода показатель имеет значение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0 %, что указанно в муниципальном задании.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«Укомплектованность» плана на 2023 год - 95%. На конец отчетного периода показатель имеет значение 95 %, что указанно в муниципальном задании.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«Доля родителей удовлетворенных качеством предос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тавляемой услуги» плана на 2023 год - 100%. На конец отчетного периода показатель имеет значение 100 %, что указанно в муниципальном задании.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Показатель «Число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принявших участие» плана на 2023 год - 80%. На конец отчетного периода показатель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имеет значение 80 %, что указанно в муниципальном задании.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Показатели, характеризующие объем муниципальной услуги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Физкультурно-спортивная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и по персонифицированному финансированию по социальным сертификаиам. 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Показатель "Количество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человеко- часов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ывания": план на 2023 год - 86 832 человеко-часов. На конец отчетного периода показатель имеет значение 86 832 человеко-часов. Показатель достигнут.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МБУ "ЦППСООМО" Усть-Коксинский район Республики Алтай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</w:t>
      </w:r>
      <w:r>
        <w:rPr>
          <w:rFonts w:ascii="Times New Roman" w:eastAsia="Times New Roman" w:hAnsi="Times New Roman" w:cs="Times New Roman"/>
          <w:b/>
          <w:color w:val="000000"/>
        </w:rPr>
        <w:t xml:space="preserve">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Психолого-педагогическое конс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ультирование обучающихся, их родителей (законных представителей) и педагогических работников».</w:t>
      </w:r>
    </w:p>
    <w:p w:rsidR="00CC10D8" w:rsidRDefault="00BC629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Категории потребителей муниципальной услуги физические лица.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Показатели, характеризующие качество оказания услуги.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Показатель «Сохранность контингента» плана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2023 год - 100%. На конец отчетного периода показатель имеет значение 100 %, что указанно в муниципальном задании.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Показатели, характеризующие объем муниципальной услуги.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Показатель «Число обучающихся»: план на 2023 год - 1150 человек. На конец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отчетного периода показатель имеет значение 1150 человек. Показатель достигнут.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</w:t>
      </w:r>
      <w:r>
        <w:rPr>
          <w:rFonts w:ascii="Times New Roman" w:eastAsia="Times New Roman" w:hAnsi="Times New Roman" w:cs="Times New Roman"/>
          <w:b/>
          <w:color w:val="000000"/>
        </w:rPr>
        <w:t xml:space="preserve">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Психолого-медико-педагогическое обследование детей».</w:t>
      </w:r>
    </w:p>
    <w:p w:rsidR="00CC10D8" w:rsidRDefault="00BC629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лица.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Показатели, характеризующие качество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оказания услуги.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«Сохранность контингента» плана на 2023 год - 100%. На конец отчетного периода показатель имеет значение 100 %, что указанно в муниципальном задании.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Показатели, характеризующие объем муниципальной услуги.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«Число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бучающихся»: план на 2023 год - 60 человек. На конец отчетного периода показатель имеет значение 60 человек. Показатель достигнут.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</w:t>
      </w:r>
      <w:r>
        <w:rPr>
          <w:rFonts w:ascii="Times New Roman" w:eastAsia="Times New Roman" w:hAnsi="Times New Roman" w:cs="Times New Roman"/>
          <w:b/>
          <w:color w:val="000000"/>
        </w:rPr>
        <w:t xml:space="preserve">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Коррекционно-развивающая, компенсирующая и логопедическая помощь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».</w:t>
      </w:r>
    </w:p>
    <w:p w:rsidR="00CC10D8" w:rsidRDefault="00BC629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униципальной услуги физические лица.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Показатели, характеризующие качество оказания услуги.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«Сохранность контингента» плана на 2023 год - 100%. На конец отчетного периода показатель имеет значение 100 %, что указанно в муниципальном задании.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Показатели, характеризующие объем муниципальной услуги.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«Число обучающихся»: план на 2023 год - 100 человек. На конец отчетного периода показатель имеет значение 100 человек. Показатель достигнут.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  учреждение  Администрации МО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"Усть-Коксинский район"  Республики  Алтай "Дом творчества и досуга"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</w:t>
      </w:r>
      <w:r>
        <w:rPr>
          <w:rFonts w:ascii="Times New Roman" w:eastAsia="Times New Roman" w:hAnsi="Times New Roman" w:cs="Times New Roman"/>
          <w:b/>
          <w:color w:val="000000"/>
        </w:rPr>
        <w:t xml:space="preserve"> «Организация и проведение культурно-массовых мероприятий»</w:t>
      </w:r>
    </w:p>
    <w:p w:rsidR="00CC10D8" w:rsidRDefault="00BC629D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и юридические лица.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Показатели, характеризующие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муниципальной услуги «</w:t>
      </w:r>
      <w:r>
        <w:rPr>
          <w:rFonts w:ascii="Times New Roman" w:eastAsia="Times New Roman" w:hAnsi="Times New Roman" w:cs="Times New Roman"/>
          <w:color w:val="000000"/>
        </w:rPr>
        <w:t>Организация и проведение культурно-массовых мероприятий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</w:t>
      </w:r>
      <w:r>
        <w:rPr>
          <w:rFonts w:ascii="Times New Roman" w:eastAsia="Times New Roman" w:hAnsi="Times New Roman" w:cs="Times New Roman"/>
          <w:color w:val="000000"/>
        </w:rPr>
        <w:t>Организация и проведение культурно-массовых мероприятий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»: план на 2023 год - 3200 ед. На конец отчетного периода показатель имеет значение 2820 ед. Допустимо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(возможное) отклонение 220ед.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</w:t>
      </w:r>
      <w:r>
        <w:rPr>
          <w:rFonts w:ascii="Times New Roman" w:eastAsia="Times New Roman" w:hAnsi="Times New Roman" w:cs="Times New Roman"/>
          <w:b/>
          <w:color w:val="000000"/>
        </w:rPr>
        <w:t xml:space="preserve"> «Организация деятельности клубных формирований и формирований самодеятельного народного творчества»</w:t>
      </w:r>
    </w:p>
    <w:p w:rsidR="00CC10D8" w:rsidRDefault="00BC629D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и юридические лица.</w:t>
      </w:r>
    </w:p>
    <w:p w:rsidR="00CC10D8" w:rsidRDefault="00BC629D">
      <w:pPr>
        <w:numPr>
          <w:ilvl w:val="2"/>
          <w:numId w:val="10"/>
        </w:numPr>
        <w:ind w:left="18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Показатели, характеризующие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 оказания услуги «</w:t>
      </w:r>
      <w:r>
        <w:rPr>
          <w:rFonts w:ascii="Times New Roman" w:eastAsia="Times New Roman" w:hAnsi="Times New Roman" w:cs="Times New Roman"/>
          <w:color w:val="000000"/>
        </w:rPr>
        <w:t>Организация деятельности клубных формирований и формирований самодеятельного народного творчества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Показатель «Количество </w:t>
      </w:r>
      <w:r>
        <w:rPr>
          <w:rFonts w:ascii="Times New Roman" w:eastAsia="Times New Roman" w:hAnsi="Times New Roman" w:cs="Times New Roman"/>
          <w:color w:val="000000"/>
        </w:rPr>
        <w:t>клубных формирований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плана на 2023 год – 85 ед. На конец отчетного периода показатель имеет значение 89 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Показатель достигнут.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Показатель «Доля </w:t>
      </w:r>
      <w:r>
        <w:rPr>
          <w:rFonts w:ascii="Times New Roman" w:eastAsia="Times New Roman" w:hAnsi="Times New Roman" w:cs="Times New Roman"/>
          <w:color w:val="000000"/>
        </w:rPr>
        <w:t>клубных формирований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плана на 2023 год – 0%. На конец отчетного периода показатель имеет значение 104,7%.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 Показатели, характеризующие объем муниципальной услуги «</w:t>
      </w:r>
      <w:r>
        <w:rPr>
          <w:rFonts w:ascii="Times New Roman" w:eastAsia="Times New Roman" w:hAnsi="Times New Roman" w:cs="Times New Roman"/>
          <w:color w:val="000000"/>
        </w:rPr>
        <w:t>Организация деятельности клубных формирований и ф</w:t>
      </w:r>
      <w:r>
        <w:rPr>
          <w:rFonts w:ascii="Times New Roman" w:eastAsia="Times New Roman" w:hAnsi="Times New Roman" w:cs="Times New Roman"/>
          <w:color w:val="000000"/>
        </w:rPr>
        <w:t>ормирований самодеятельного народного творчества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</w:t>
      </w:r>
      <w:r>
        <w:rPr>
          <w:rFonts w:ascii="Times New Roman" w:eastAsia="Times New Roman" w:hAnsi="Times New Roman" w:cs="Times New Roman"/>
          <w:color w:val="000000"/>
        </w:rPr>
        <w:t>Количество посещений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»: план на 2023 год - 1286 человек. На конец отчетного периода показатель имеет значение 1305 человек. Допустимое (возможное) отклонение 64 человек.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Муниципальное бюджетно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е учреждение дополнительного образования "Усть-Коксинская детская школа искусств"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 «Реализация дополнительных общеразвивающих программ»</w:t>
      </w:r>
    </w:p>
    <w:p w:rsidR="00CC10D8" w:rsidRDefault="00BC629D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и юридические лица.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Показатели, характеризующ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объем муниципальной услуги.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</w:t>
      </w:r>
      <w:r>
        <w:rPr>
          <w:rFonts w:ascii="Times New Roman" w:eastAsia="Times New Roman" w:hAnsi="Times New Roman" w:cs="Times New Roman"/>
          <w:color w:val="000000"/>
        </w:rPr>
        <w:t>Число человеко-часов пребывания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»: план на 2023 год - 34 992 чел-часов. На конец отчетного периода показатель имеет значение 33 647 чел-часов.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Отклонение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превышающее показатель допустимого составляет 1 750 чел-часо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 «Реализация дополнительных предпрофессиональных общеразвивающих программ»</w:t>
      </w:r>
    </w:p>
    <w:p w:rsidR="00CC10D8" w:rsidRDefault="00BC629D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и юридические лица.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Показатели, характеризующие объем муниципальной услуги «Живопись».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</w:t>
      </w:r>
      <w:r>
        <w:rPr>
          <w:rFonts w:ascii="Times New Roman" w:eastAsia="Times New Roman" w:hAnsi="Times New Roman" w:cs="Times New Roman"/>
          <w:color w:val="000000"/>
        </w:rPr>
        <w:t>Чис</w:t>
      </w:r>
      <w:r>
        <w:rPr>
          <w:rFonts w:ascii="Times New Roman" w:eastAsia="Times New Roman" w:hAnsi="Times New Roman" w:cs="Times New Roman"/>
          <w:color w:val="000000"/>
        </w:rPr>
        <w:t>ло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»: план на 2023 год - 42 865,20 чел-часов. На конец отчетного периода показатель имеет значение 42 007 чел-часов.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Отклонение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превышающее показатель допустимого составляет 2 143 чел-часов. 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Показатели, характеризующие объем муниципальной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«Фортепиано».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</w:t>
      </w:r>
      <w:r>
        <w:rPr>
          <w:rFonts w:ascii="Times New Roman" w:eastAsia="Times New Roman" w:hAnsi="Times New Roman" w:cs="Times New Roman"/>
          <w:color w:val="000000"/>
        </w:rPr>
        <w:t>Число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»: план на 2023 год - 11 934 чел-часов. На конец отчетного периода показатель имеет значение 11 456 чел-часов.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Отклонение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превышающее показатель допустимого составляет 597 чел-часов.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Показатели, характеризующие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муниципальной услуги «Народные инструменты».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</w:t>
      </w:r>
      <w:r>
        <w:rPr>
          <w:rFonts w:ascii="Times New Roman" w:eastAsia="Times New Roman" w:hAnsi="Times New Roman" w:cs="Times New Roman"/>
          <w:color w:val="000000"/>
        </w:rPr>
        <w:t>Число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»: план на 2023 год - 27 324 чел-часов. На конец отчетного периода показатель имеет значение 26 470 чел-часов.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Отклонение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превышающее показатель допустимого составляет 1 366 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л-часов.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Муниципальное бюджетное учреждение дополнительного образования Чендекская детская школа искусств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 «Реализация дополнительных общеразвивающих программ»</w:t>
      </w:r>
    </w:p>
    <w:p w:rsidR="00CC10D8" w:rsidRDefault="00BC629D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и юридические лица.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Показатели, характеризующие объем муниципальной услуги.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</w:t>
      </w:r>
      <w:r>
        <w:rPr>
          <w:rFonts w:ascii="Times New Roman" w:eastAsia="Times New Roman" w:hAnsi="Times New Roman" w:cs="Times New Roman"/>
          <w:color w:val="000000"/>
        </w:rPr>
        <w:t>Число человеко-часов пребывания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»: план на 2023 год - 0 чел-часов. На конец отчетного периода показатель имеет значение 0 чел-часов.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 «Реализация дополнительных предпро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фессиональных общеразвивающих программ»</w:t>
      </w:r>
    </w:p>
    <w:p w:rsidR="00CC10D8" w:rsidRDefault="00BC629D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и юридические лица.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Показатели, характеризующие объем муниципальной услуги «Живопись».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</w:t>
      </w:r>
      <w:r>
        <w:rPr>
          <w:rFonts w:ascii="Times New Roman" w:eastAsia="Times New Roman" w:hAnsi="Times New Roman" w:cs="Times New Roman"/>
          <w:color w:val="000000"/>
        </w:rPr>
        <w:t>Число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»: план на 2023 год - 19 872 чел-часов. На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нец отчетного периода показатель имеет значение 18 978 чел-часов.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Отклонение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превышающее показатель допустимого составляет 994.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Показатели, характеризующие объем муниципальной услуги «Фортепиано».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</w:t>
      </w:r>
      <w:r>
        <w:rPr>
          <w:rFonts w:ascii="Times New Roman" w:eastAsia="Times New Roman" w:hAnsi="Times New Roman" w:cs="Times New Roman"/>
          <w:color w:val="000000"/>
        </w:rPr>
        <w:t>Число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»: план на 2023 год - 11 016 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ел-часов. На конец отчетного периода показатель имеет значение 11016 чел-часов. Отклонение 551 чел-часов.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Показатели, характеризующие объем муниципальной услуги «Декоративно-прикладное творчество».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</w:t>
      </w:r>
      <w:r>
        <w:rPr>
          <w:rFonts w:ascii="Times New Roman" w:eastAsia="Times New Roman" w:hAnsi="Times New Roman" w:cs="Times New Roman"/>
          <w:color w:val="000000"/>
        </w:rPr>
        <w:t>Число человеко-часов пребывания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»: план на 2023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- 14 872 чел-часов. На конец отчетного периода показатель имеет значение 14 497,60 чел-часов. Допустимое отклонение 744 чел-часов.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Муниципальное учреждение Администрации Муниципального Образования "Усть-Коксинский район" Республики Алтай "Межпоселен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ческая Централизаванная библиотечная система"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 «Библиотечное, библиографическое и информационное обслуживание пользователей библиотеки»</w:t>
      </w:r>
    </w:p>
    <w:p w:rsidR="00CC10D8" w:rsidRDefault="00BC629D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и юридические лица.</w:t>
      </w:r>
    </w:p>
    <w:p w:rsidR="00CC10D8" w:rsidRDefault="00BC629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Показатели, характериз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ующие качество оказания услуги «Библиотечное, библиографическое и информационное обслуживание пользователей библиотеки».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«Темп роста количества посещений библиотеки по сравнению с предыдущим годом»: план на 2023 год - 100 %. На конец отчетного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ериода показатель имеет значение 117,50%. Допустимое отклонение составляет 12,5 %.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Показатели, характеризующие объем муниципальной услуги «Библиотечное, библиографическое и информационное обслуживание пользователей библиотеки».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«Количество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сещений» плана на 2023 год –119 000 ед. На конец отчетного периода показатель имеет значение 139 805 ед. Отклонение превышающее показатель допустимого составляет 14 855 ед.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Автономное некоммерческое учреждение "Музей истории и культуры Уймонской долины 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О "Усть-Коксинский район" Республики Алтай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 «Публичный показ музейных предметов, музейных коллекций»</w:t>
      </w:r>
    </w:p>
    <w:p w:rsidR="00CC10D8" w:rsidRDefault="00BC629D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 физические лица.</w:t>
      </w:r>
    </w:p>
    <w:p w:rsidR="00CC10D8" w:rsidRDefault="00BC629D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Показатели, характеризующие качество оказания услуги «Публичный показ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музейных предметов, музейных коллекций».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«Количество предметов» плана на 2023 год – 421 ед. На конец отчетного периода показатель имеет значение 493 ед. Допустимое отклонение составляет 21 ед. отклонение превышабщее допустимое 51 ед.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Показате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ли, характеризующие объем муниципальной услуги «Публичный показ музейных предметов, музейных коллекций».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«Количество посещений»: план на 2023 год - 4 200. На конец отчетного периода показатель имеет значение 4 183. Допустимое отклонение 210.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Муниципальное бюджетное учреждение «Редакция газеты «Уймонские Ведомости»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услуга «Производство и распространение радиопрограмм»</w:t>
      </w:r>
    </w:p>
    <w:p w:rsidR="00CC10D8" w:rsidRDefault="00BC629D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Категории потребителей муниципальной услуги: органы государственной власти, органы местного самоуправления,  физич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еские и юридические лица.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Показатели, характеризующие качество оказания услуги «Информационные передачи на радиоканале о важнейших событиях жизни района».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«Своевременное размещение новостей, объявлений, уведомлений, информационных передач орг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 государственной власти, органов местного самоуправления» плана на 2023 год –100%. На конец отчетного периода показатель имеет значение 100%, что указанно в муниципальном задании.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Показатели, характеризующие объем муниципальной услуги «Информационны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передачи на радиоканале о важнейших событиях жизни района».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«Объем вещания»: план на 2023 год – 8736 час. На конец отчетного периода показатель имеет значение 8736 час. Показатель достигнут.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«Информационные передачи о важнейших собы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тиях жизни в стране»: план на 2023 год – 0,1 (или 35 минут в сутки). На конец отчетного периода показатель имеет значение 0,1 (или 35 минут в сутки). Показатель достигнут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«полнота объема исполнения обязательств»: план на 2023 год – 100%. На коне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 отчетного периода показатель имеет значение 100%. Показатель достигнут</w:t>
      </w:r>
    </w:p>
    <w:p w:rsidR="00CC10D8" w:rsidRDefault="00BC629D">
      <w:pPr>
        <w:spacing w:line="274" w:lineRule="auto"/>
        <w:ind w:firstLine="720"/>
        <w:jc w:val="both"/>
        <w:rPr>
          <w:color w:val="000000"/>
        </w:rPr>
      </w:pPr>
      <w:r>
        <w:rPr>
          <w:rFonts w:ascii="Courier New" w:eastAsia="Courier New" w:hAnsi="Courier New" w:cs="Courier New"/>
          <w:color w:val="000000"/>
        </w:rPr>
        <w:t> 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4. Анализ показателей бухгалтерской отчетности субъекта бюджетной отчетности 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годовой бюджетной отчетности МО «Усть-Коксинский район» РА за 2023 год осуществля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лось путем суммирования данных отчетов, представленных главными распорядителями бюджетных средств МО «Усть-Коксинский район» РА, расположенных на территории Усть-Коксинского района, в соответствии с требованиями Инструкции о порядке составления и представл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№191н. </w:t>
      </w:r>
      <w:proofErr w:type="gramEnd"/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 на начала отчетного периода вступительного баланса отличаются от показате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 прошлого отчетного периода на конец года в целом на сумму 17 883 430,00 руб., в том числе: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0 108 00 000 «Нефинансовые активы имущества казны» на начало отчетного периода увеличились по сравнению с показателями прошлого отчетного периода на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умму – 21 384 890,36 руб., в связи с исправлением ошибок прошлых лет.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 вступительного баланса по коду причины 03.3 - ошибки в применении счетов бухгалтерского учета.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Администрацией МО «Усть-Коксинский район» РА в 2023 году проведена инвентаризаци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счетов бюджетного учета. В связи, с чем были выявлены ошибки в применении счетов бухгалтерского учета. 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по счету 0 106 00 000 "Вложения в нефинансовые активы" на начало отчетного периода уменьшилась по сравнению с показателями прошлого отчетного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на сумму – 2 711 345,00 руб., в связи с исправлением ошибок прошлых лет.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 вступительного баланса по коду причины 03.3 - ошибки в применении счетов бухгалтерского учета.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Администрацией МО «Усть-Коксинский район» РА в 2023 году проведена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вентаризация счетов бюджетного учета. В связи, с чем были выявлены ошибки в применении счетов бухгалтерского учета. 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 счету 0 105 00 000 "Материальные запасы" на начало отчетного периода уменьшилась по сравнению с показателями прошлого отчетного период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на сумму – 81 497,06 руб., в связи с исправлением ошибок прошлых лет.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 вступительного баланса по коду причины 03.3 - ошибки в применении счетов бухгалтерского учета.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Администрацией МО «Усть-Коксинский район» РА в 2023 году проведена инвентариза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 счетов бюджетного учета. В связи, с чем были выявлены ошибки в применении счетов бухгалтерского учета. 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по счету 0 103 00 000 «Непроизведенные активы» на начало отчетного периода уменьшилось по сравнению с показателями прошлого отчетного периода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сумму – 708 618,30 руб., в связи с исправлением ошибок прошлых лет. 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 вступительного баланса по коду причины 03.3 - ошибки в применении счетов бухгалтерского учета.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Администрацией МО «Усть-Коксинский район» РА в 2023 году проведена инвентаризация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счетов бюджетного учета. В связи, с чем были выявлены ошибки в применении счетов бухгалтерского учета. 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Courier New" w:eastAsia="Courier New" w:hAnsi="Courier New" w:cs="Courier New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 вступительного баланса по коду причины 06- иные причины.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счету 0 205 00 000, 0 209 00 000 "Кредиторская задолженность по доходам" на нача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 отчетного периода уменьшилась по сравнению с показателями прошлого отчетного периода на сумму - 1 062,05 руб., в связи с исправлением ошибок прошлых лет.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Балансовая стоимость основных средств,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 года по сравнению с предшествующим 2022 годо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увеличилась на 27 602 044,99 руб., и составила 98 346 614,05 руб.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Поступление имущества в отчетном периоде сложилось из безвозмездного поступления имущества от других бюджетов бюджетной системы Российской Федерации и поступления от бюджетных учреждений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общую сумму 35 234 921,22 руб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Сумма уменьшения показателя сложилась из безвозмездной передачи имущества бюджетным и автономным учреждениям, передача имущества в муниципальную казну на сумму 28 875 496,46 руб., списание основных средств, пришедших в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годность, в том числе по причине морального износа, списания на забаланс.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Наибольший удельный вес в общей стоимости основных средств на 01.01.2024г. занимает группа «Машины и оборудование» - 40,4%, группа «Нежилые помещения (здания и сооружения)» - 22,1%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группа «Инвентарь производственный и хозяйственный» - 14,4%, группа «Транспортные средства» - 12,7%, группа «Жилые помещения» - 10,3%.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Амортизация основных средств по состоянию на 01.01.2024г., составила 46 660 187,34 руб. 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Остаточная стоимость основных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 на конец отчетного периода составила 51 686 426,71 руб. Степень изношенности основных средств  - 47,44 процентов.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счету 0 103 00 000 «Непроизведенные активы» отражена кадастровая стоимость земельных участков, которая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 года составил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23 088 820,76 руб., что на 18 842 162,20 руб. меньше, чем в 2022 году. 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отчетном периоде отражено движение по счету 0 103 13 000 «Прочие непроизведенные активы», остаток на конец отчетного периода – 9 059 097,99 руб. Администрацией МО «Усть-Коксинский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РА  отражено вовлечение в хозяйственный оборот земельных участков, собственность на которые не разграничена, в сумме 8 952 235,57 руб. Отражено предоставление указанных объектов в постоянное (бессрочное) пользование в сумме – 120 550,19 руб.</w:t>
      </w:r>
      <w:proofErr w:type="gramEnd"/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Стоимо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 материальных запасов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 года по сравнению с прошлым годом увеличилась на 2 632 678,98 руб. и составила 5 108 855,22 руб. </w:t>
      </w:r>
      <w:r>
        <w:rPr>
          <w:rFonts w:ascii="Courier New" w:eastAsia="Courier New" w:hAnsi="Courier New" w:cs="Courier New"/>
          <w:color w:val="000000"/>
        </w:rPr>
        <w:t> </w:t>
      </w:r>
    </w:p>
    <w:p w:rsidR="00CC10D8" w:rsidRDefault="00BC629D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 года стоимость имущества казны составляет 91 954 117,25 руб., что на 64 446 446,64 руб. меньше остатков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начало отчетного периода. </w:t>
      </w:r>
    </w:p>
    <w:p w:rsidR="00CC10D8" w:rsidRDefault="00BC629D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Увеличение имущества казны связано с изъятием в казну имущества переданного муниципальным унитарным предприятиям на сумму 47 292 886,33 руб., принятие к учету по первоначальной стоимости приобретённых объектов, восстановлением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учете непроизведенных активов в ходе инвентаризации на сумму 265 604,48 руб., а также безвозмездного поступления имущества казны от других бюджетов бюджетной системы Российской Федерации (Сельских поселений, Министерства экономического развития Республи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Алтай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на общую сумму 35 053 712,73 руб. 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Выбытие имущества из состава казны связано с безвозмездной передачей учреждениям и организациям. В отчетном периоде отражена безвозмездная передача имущества казны по КОСГУ 284 «Безвозмездные перечисления капита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 характера нефинансовым организациям государственного сектора» в сумме – 74 761 180,08 руб.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Courier New" w:eastAsia="Courier New" w:hAnsi="Courier New" w:cs="Courier New"/>
          <w:color w:val="000000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 года остатка по счету 0 111 00 000 «Права пользования активами» - нет.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Остаток денежных средств на 01 января 2024 года сложился в сумме 2 134 630,62 руб. 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Остаток в кассе денежных документов (марки и маркированные конверты) на конец отчетного периода составил – 25 292,00 руб.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конец отчетного периода числится дебиторская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задолженность на общую сумму 19 835 542,53 руб., итого по счетам: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по счету 205 21 000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сумму 11 383,00 руб., в Администрации МО «Усть-Коксинский район» РА, расчеты по доходам от операционной аренды (Договора аренды имущества) с физическими лицами, иным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нефинансовыми организациями, некоммерческими организациями, участниками бюджетного процесса;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по счету 205 23 000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сумму 7 540 023,00 руб., в Администрации МО «Усть-Коксинский район» РА по договорам аренды земельных участков, а так же от продажи права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заключение договоров аренды с физ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ицами, иными нефинансовыми организациями, некоммерческими организациями.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- по счету 205 51 000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сумму 1 192 292,36 руб., в Финансовом управление Администрации МО «Усть-Коксинский район» РА начисление возвратных оста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тков межбюджетных трансфертов от сельских поселений в бюджет МО «Усть-Коксинский район» РА.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 счету 205 53 000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общую сумму 3 459 090,18 руб., в Управлении образования администрации МО "Усть-Коксинский район", отражена задолженность по возврату в бюдж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неиспользованных в 2023 году остатков на иные цели в подведомственных учреждениях.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по счету 206 21 000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сумму 144,43 руб., в МКУ "ЦОУК" МО "Усть-Коксинский район", Аванс 30% за услуги связи по договору с ПАО "Ростелеком" - Муниципальный контракт №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22000146141 от 23.01.2023г. 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по счету 206 23 000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общую сумму 17 815,66 руб., в том числе: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17 624,66 руб., в МКУ ПО ОДАМО «УСТЬ-КОКСИНСКИЙ РАЙОН» РА аванс по договору с АО "Алтайэнергосбыт" за услуги электроснабжения, Муниципальный контракт № 041007210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22118 от 02.02.2023г;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191,00 руб., в МКУ "ЦОУК" МО "Усть-Коксинский район" аванс по договору с АО "Алтайэнергосбыт" за услуги электроснабжения, Муниципальный контракт N 04100721021644 от 23.01.2023г.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по счету 206 25 000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сумму 3 486 141,97 руб., в Адми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нистрации МО «Усть-Коксинский район» РА по Муниципальному контракту №1 от 13.10.2022г., с ООО "Химакрил". Аванс 70% за работы по текущему ремонту подъездных путей к школе 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сть-Кокса на 275 мест, ул. Садовая, 2.</w:t>
      </w:r>
    </w:p>
    <w:tbl>
      <w:tblPr>
        <w:tblW w:w="0" w:type="auto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CC10D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C10D8" w:rsidRDefault="00BC629D">
            <w:pPr>
              <w:spacing w:line="288" w:lineRule="auto"/>
              <w:ind w:firstLine="7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по счету 206 26 000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сумму 9 043,78 руб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в Администрации МО «Усть-Коксинский район» РА по договору № 04-01/23-71 от 23.01.2023г, услуги хостинга.</w:t>
            </w:r>
          </w:p>
        </w:tc>
      </w:tr>
    </w:tbl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по счету 206 28 000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сумму 72 000,00 руб., в Администрации МО «Усть-Коксинский район» РА по договору №92-2023 от 23.08.2023г., с Автономным учреждением Республики Алтай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осударственная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экспертиза Республики Алтай».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Аванс 100 % за осударственную экспертизу проектной докум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ентации в части проверки достоверности определения сметной стоимости на капитальный ремонт объекта «Капитальный ремонт сетей водоснабжения в с. Усть-Кокса (ул. Новая, ул. Набережная) в с. Кайтанак (ул. Матросова), Усть-Коксинского района Республики Алтай 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по счету 206 31 000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сумму 3 944 433,05 руб., в Администрации МО «Усть-Коксинский район» РА с МУП "Тепловодстрой Сервис" Муниципальный контракт №1 от 25.11.2020г. Остаток авансового платежа в размере 50% от цены контракта. Работы по строительству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водопровода в микрорайоне Башталинка села Усть-Кокса;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по счету 209 34 000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сумму 103 175,10 руб., в Администрации МО «Усть-Коксинский район» РА, расчеты по доходам от компенсации затрат (выставлены счета арендаторам, оплата не поступила).</w:t>
      </w:r>
    </w:p>
    <w:p w:rsidR="00CC10D8" w:rsidRDefault="00BC629D">
      <w:pPr>
        <w:spacing w:line="288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 конец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четного периода числится кредиторская задолженность на общую сумму 26 008 230,50 руб., в том числе: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по счету 205 11 000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сумму 237,74 руб., кредиторская задолженность УФНС;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по счету 205 45 000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сумму 2 048,00 руб., задолженность УФНС по денежным 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ысканиям (штрафам) за нарушение законодательства в области налогов и сборов;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по счету 205 81 000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сумму 2 950 000,00 руб., невыясненные поступления в Финансовом управление Администрации МО «Усть-Коксинский район» РА;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по счету 302 21 000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сумму 35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05,74 руб., в том числе: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4 238,33руб., в Финансовом управление Администрации МО «Усть-Коксинский район» РА по Контракту №622000097417 от 20.01.2023г., с ПАО "Ростелеком" за услуги телефонной связи. Срок оплаты до 20-го числа следующего за расчетным;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1 231,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66 руб., в Совете депутатов МО "Усть-Коксинский район" РА по договору № 622000151938 от 30.01.2023г., с ПАО "Ростелеком" за услуги телефонной связи. Срок оплаты до 20-го числа следующего за расчетным;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3 255,34 руб., МКУ по делам ГОЧС и ЕДДС по договору №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22000139165 от 30.01.2023г., с ПАО "Ростелеком" за услуги телефонной связи. Срок оплаты до 20-го числа следующего за расчетным;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26 580,41 руб., МКУ по ОДАМО "Усть-Коксинский район" РА по контракту № 622000185810 от 19.01.2023г., с ПАО "Ростелеком" за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телефонной связи. Срок оплаты до 20-го числа следующего за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расчетным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по счету 302 23 000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сумму 790,69 руб., в том числе: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354,48 руб., в МКУ по ОДАМО «Уст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Коксинский район» РА по Муниципальному контракту № 04100721022118 от 02.02.2023г., с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 "Ал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тайэнергосбыт" за услуги электроснабжения. Срок оплаты до 18 числа месяца, следующего за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расчетным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436,21 руб., в МКУ "ЦОУК" МО "Усть-Коксинский район" РА по Муниципальному контракту № 04100721021644 от 23.01.2023г., с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 "Алтайэнергосбыт" за услуги элект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роснабжения. Срок оплаты до 18 числа месяца, следующего за расчетным;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по счету 302 31 000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сумму 7 238 836,82 руб., в Администрации МО «Усть-Коксинский район» РА по Муниципальному контракту №15 от 04.07.2019г., с ООО "НОВОСТРОЙ". За строительно-монтажн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работы по объекту: "Общеобразовательная школа на 275 учащихся в 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сть-Кокса, ул.Садовая,2". Акты выполненных работ от 29.12.2022г., срок оплаты до 31.01.2023г. Под лимиты бюджетных обязательств 2023 года;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по счету 302 34 000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сумму 105 000 руб.,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числе: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60 000 руб., в МКУ по ОДАМО «Уст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Коксинский район» РА по договору №12/2023 от 25.12.2023г., с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 Иродовым П.Л. за автомобильные запчасти. Срок оплаты до 31.03.2024г;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45 000 руб., в МКУ по ОДАМО «Уст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Коксинский район» РА по договору б/н от 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.11.2023г., с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 Лукьяновой Н.Г. за канцелярские расходы (бумага офисная). Срок оплаты до 10.02.2024г;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по счету 302 41 000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сумму 2 724 715,52 руб., в том числе: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3 500 руб., в Управлении культуры МО "Усть-Коксиснкий район" РА, субсидии бюджетным учрежд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ениям на финансовое обеспечение гос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мун.) задания на оказание гос.(мун.) услуг(вып. работ).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2 721 215,52 руб., в Управлении Образования администрации МО "Усть-Коксинский район" РА, недоперечисленные  подведомственным учреждениям  средства  субсидии в соот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ветствии с соглашением.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по счету 302 62 000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сумму 193 897,89 руб., в Управлении Образования администрации МО "Усть-Коксинский район" РА, компенсация части родительской платы за детский сад начисленна за 2023г больше  выделенных лимитов.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по счету 303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05 000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общую сумму 12 754 049,10 руб., в том числе: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12 703 343,10 руб., в Администрации МО «Усть-Коксинский район» РА начисление задолженности по возврату остатком межбюджетных трансфертов в республиканский бюджет;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50 706,00 руб., в Финансовом управлен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Администрации МО «Усть-Коксинский район» РА, начисление возврата остатков под потребность.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 - по счету 303 12 000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сумму 3 141,00 руб., в Администрации МО «Усть-Коксинский район» РА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ЕНП Налог на имущество за 2023г. срок оплаты до 30.01.2024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 - по счету 303 15 000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сумму208,00 руб., в МКУ по ОДАМО «Уст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Коксинский район» РА, ЕНП Транспортный налог за 2023г. срок оплаты до 30.01.2024.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Courier New" w:eastAsia="Courier New" w:hAnsi="Courier New" w:cs="Courier New"/>
          <w:color w:val="000000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состоянию на 01.01.2023 года отражен остаток по счету 401 40 000 «Доходы будущих периодов» в сумме</w:t>
      </w:r>
      <w:r>
        <w:rPr>
          <w:rFonts w:ascii="Times New Roman" w:eastAsia="Times New Roman" w:hAnsi="Times New Roman" w:cs="Times New Roman"/>
          <w:color w:val="000000"/>
        </w:rPr>
        <w:t> 7 64</w:t>
      </w:r>
      <w:r>
        <w:rPr>
          <w:rFonts w:ascii="Times New Roman" w:eastAsia="Times New Roman" w:hAnsi="Times New Roman" w:cs="Times New Roman"/>
          <w:color w:val="000000"/>
        </w:rPr>
        <w:t xml:space="preserve">3 198,10 руб.,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Администрации МО «Усть-Коксинский район» РА - 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ачислены доходы будущих периодов по договорам операционной аренды (аренда имущества), по договорам пользования природными ресурсами (аренды земли) с физическими лицами, иными нефинансовыми орг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анизациями, некоммерческими организациями, участниками бюджетного процесса;</w:t>
      </w:r>
      <w:proofErr w:type="gramEnd"/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01.01.2023 года создан резерв на оплату отпусков за фактически отработанное время, включая страховые взносы на общую сумму – 5 240 245,17 рублей.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Сумма остатков по долговым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обязательствам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 года составляет 3 200 000,00руб.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 2023 года на забалансовом счете 04 отражена «Сомнительная задолженность» в сумме 981 841,00 руб., в Управление образования администрации МО "Усть-Коксинский район", на сумму возмещени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затрат на содержания здания редакции газеты «Уймонские вести». Должник ликвидирован.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по форме 0503127 «Отчет об исполнении бюджета главного распорядителя, распорядителя, получателя бюджетных средств»</w:t>
      </w:r>
    </w:p>
    <w:p w:rsidR="00CC10D8" w:rsidRDefault="00BC629D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375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4"/>
        <w:gridCol w:w="1318"/>
        <w:gridCol w:w="5773"/>
      </w:tblGrid>
      <w:tr w:rsidR="00CC10D8">
        <w:trPr>
          <w:trHeight w:val="30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Код расхода по бюджетной классификации (2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 знаков)</w:t>
            </w:r>
          </w:p>
        </w:tc>
        <w:tc>
          <w:tcPr>
            <w:tcW w:w="13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неисполненных назначений по БА (=сумме в г.10 раздела 2 ф. 0503127)</w:t>
            </w:r>
          </w:p>
        </w:tc>
        <w:tc>
          <w:tcPr>
            <w:tcW w:w="57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Причины отклонения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0102 990Я002200 121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4 431,15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0102 990Я002200 129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14,48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0104 990Я002110 121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9 534,76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0104 990Я002110 129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68,47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0104 990Я002190 121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225,66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0104 990Я002190 122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8 792,00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0104 990Я002190 129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293,24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0104 990Я002190 851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0,89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0104 990Я002190 852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0104 990Я002190 853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02201S2400 360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011 0113 0350201000 111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82,85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Экономия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011 0113 0350201000 119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936,96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011 0113 0610301000 242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0,89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011 0113 0910302000 244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20 060,00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011 0113 0930101000 111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011 0113 0930101000 119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011 0113 0930101000 242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27 595,07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 выполненных работ и услуг, приобретенных товаров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011 0113 0930101000 244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124 926,00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 выполненных работ и услуг, приобретенных товаров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011 0113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0930101000 247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174 226,34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 выполненных работ и услуг, приобретенных товаров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011 0113 0930101000 851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5 356,50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011 0113 0930101000 852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613,00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011 0113 0930101000 853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0,70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990Я002190 121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154,15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0113 990Я002190 129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522,30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011 0204 0330501000 244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11 066,00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011 0310 0350101000 111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504,01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011 0310 0350101000 119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389,98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011 0310 0350101000 242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7 033,03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Оплата по факту. Суммы 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исполненных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БО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011 0310 0350101000 244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011 0310 0350101000 851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5,50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011 0310 0350101000 852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288,75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011 0405 0130240300 244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48 665,06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0409 0330101Д00 244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7 963 175,10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0409 03301S22Д0 244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1 926 921,88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Оплата по факту. Суммы 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исполненных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БО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011 0412 0920101000 244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63 176,00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011 0412 0920102000 244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150 000,00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011 0502 0310101000 811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011 0502 0310203000 244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Оплата по факту. Суммы 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исполненных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БО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011 0502 0310301000 414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1 796 412,07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Оплата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 факту. Суммы 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исполненных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БО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011 0502 0330201000 244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5 120,00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011 0503 0330201000 244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0,72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011 0702 0720201000 414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919 423,93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0702 07202S48П0 414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10 306 122,45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Остаток не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011 1001 0110302000 312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011 1003 0340351350 322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882 732,44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011 1102 1110201000 244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057 0801 0820101000 611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3 500,00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057 0804 0610302000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1 405,00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057 0804 0840201000 111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46,29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057 0804 0840201000 119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3 159,51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057 0804 0840201000 244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4 035,48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057 0804 0840201000247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2 197,11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Остаток не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057 0804 0840201000 852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057 0804 0840201000 853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1 007,58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057 0804 084Я100110 121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432,02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057 0804 084Я100110 129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1 701,36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057 0804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084Я100190122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057 0804 084Я100190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43,10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057 0804 084Я100190 851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406,50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Остаток не востребован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074 0701 0710101000 611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150 860,00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Субсидия не перечисленна в полном объеме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074 7020 720101000 611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501 599,52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Субсидия не перечисленна в полном объеме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0702 07201S4500 611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Субсидия не перечисленна в полном объеме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074 0703 0730101000 615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074 0703 0730101000635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074 0703 0730101000 816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074 0703 0730501000 611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Субсидия не перечисленна в полном объеме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074 0703 0730601000 611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18 749,00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Субсидия не перечисленна в полном объеме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074 0709 0740201000 111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511,59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074 0709 0740201000 112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Оплата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074 0709 0740201000 119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1 283,88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074 0709 0740201000 242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22 753,44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074 0709 0740201000 244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124 409,82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074 0709 0740201000 247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56 890,46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074 0709 0740201000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074 0709 0740201000 853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2 019,69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074 0709 0740301000 244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0709 074Я100110 121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29 232,73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0709 074Я100110 129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12 634,24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074 0709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074Я100190 121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13 967,11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074 0709 074Я100190 122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1 060,00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0709 074Я100190 129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4 895,09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074 0709 074Я100190 853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176,70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092 0106 0610301000 242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092 0106 062Я100110 121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28,83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092 01060 62Я100110 129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3,80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092 01060 62Я100190 121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7,06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092 0106 062Я100190 129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092 0106 062Я100190 242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6 347,47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092 1301 0610101000 730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991 0103 990Я001110 121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30,68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991 0103 990Я001110 129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42,02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991 0103 990Я001190 121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64,38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991 0103 990Я001190 129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27,49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991 0103 990Я001190 242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3 852,18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Оплата по факту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991 0103 990Я001400 121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80,13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991 0103 990Я001400 129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56,29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992 0106 990Я004110 121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285,86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ФОТ</w:t>
            </w:r>
          </w:p>
        </w:tc>
      </w:tr>
      <w:tr w:rsidR="00CC10D8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992 0106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990Я004110 129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56,62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начислений на выплаты по ФОТ</w:t>
            </w:r>
          </w:p>
        </w:tc>
      </w:tr>
    </w:tbl>
    <w:p w:rsidR="00CC10D8" w:rsidRDefault="00BC629D">
      <w:pPr>
        <w:spacing w:line="288" w:lineRule="auto"/>
        <w:jc w:val="both"/>
        <w:rPr>
          <w:color w:val="000000"/>
        </w:rPr>
      </w:pPr>
      <w:r>
        <w:rPr>
          <w:rFonts w:ascii="Courier New" w:eastAsia="Courier New" w:hAnsi="Courier New" w:cs="Courier New"/>
          <w:color w:val="000000"/>
        </w:rPr>
        <w:t> </w:t>
      </w:r>
    </w:p>
    <w:p w:rsidR="00CC10D8" w:rsidRDefault="00BC629D">
      <w:pPr>
        <w:spacing w:line="288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CC10D8" w:rsidRDefault="00BC629D">
      <w:pPr>
        <w:spacing w:line="288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CC10D8" w:rsidRDefault="00BC629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по выявленным недостачам финансовых и нефинансовых активов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2"/>
        <w:gridCol w:w="3302"/>
        <w:gridCol w:w="3302"/>
      </w:tblGrid>
      <w:tr w:rsidR="00CC10D8">
        <w:tc>
          <w:tcPr>
            <w:tcW w:w="3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Недостачи государственной собственности</w:t>
            </w:r>
          </w:p>
        </w:tc>
        <w:tc>
          <w:tcPr>
            <w:tcW w:w="3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 выявленных недостач Контрольно-счетной палатой Республики Алтай, УФК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Республике Алтай, Комитетом по контролю (надзору) Республики Алтай</w:t>
            </w:r>
          </w:p>
        </w:tc>
        <w:tc>
          <w:tcPr>
            <w:tcW w:w="3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выявленных недостач самостоятельно учреждением</w:t>
            </w:r>
          </w:p>
        </w:tc>
      </w:tr>
      <w:tr w:rsidR="00CC10D8">
        <w:tc>
          <w:tcPr>
            <w:tcW w:w="3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Финансовые</w:t>
            </w:r>
          </w:p>
        </w:tc>
        <w:tc>
          <w:tcPr>
            <w:tcW w:w="3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C10D8">
        <w:tc>
          <w:tcPr>
            <w:tcW w:w="3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Нефинансовые</w:t>
            </w:r>
          </w:p>
        </w:tc>
        <w:tc>
          <w:tcPr>
            <w:tcW w:w="3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CC10D8" w:rsidRDefault="00BC629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об остатках субсидий, субвенций и иных межбюджетных трансфертов, имеющих целевое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назначение, предоставленных из федерального бюджета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651"/>
        <w:gridCol w:w="523"/>
        <w:gridCol w:w="725"/>
        <w:gridCol w:w="1241"/>
        <w:gridCol w:w="835"/>
        <w:gridCol w:w="750"/>
        <w:gridCol w:w="1406"/>
        <w:gridCol w:w="862"/>
        <w:gridCol w:w="750"/>
        <w:gridCol w:w="1497"/>
      </w:tblGrid>
      <w:tr w:rsidR="00CC10D8"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Глава ГРБС</w:t>
            </w:r>
          </w:p>
        </w:tc>
        <w:tc>
          <w:tcPr>
            <w:tcW w:w="8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дохода остатка (219...)</w:t>
            </w:r>
          </w:p>
        </w:tc>
        <w:tc>
          <w:tcPr>
            <w:tcW w:w="8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цели</w:t>
            </w:r>
          </w:p>
        </w:tc>
        <w:tc>
          <w:tcPr>
            <w:tcW w:w="2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Остаток на 01.01.2023г</w:t>
            </w:r>
          </w:p>
        </w:tc>
        <w:tc>
          <w:tcPr>
            <w:tcW w:w="26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Восстановленные в течени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2023 </w:t>
            </w:r>
          </w:p>
        </w:tc>
        <w:tc>
          <w:tcPr>
            <w:tcW w:w="1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Остаток на 01.01.2024г</w:t>
            </w:r>
          </w:p>
        </w:tc>
      </w:tr>
      <w:tr w:rsidR="00CC10D8"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/>
        </w:tc>
        <w:tc>
          <w:tcPr>
            <w:tcW w:w="8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/>
        </w:tc>
        <w:tc>
          <w:tcPr>
            <w:tcW w:w="8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причины возникновения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возврата в 2023г в ФБ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Причины возникновения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восстановленных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2023г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возврата в 2023году в ФБ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возникновения</w:t>
            </w:r>
          </w:p>
        </w:tc>
      </w:tr>
      <w:tr w:rsidR="00CC10D8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C10D8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C10D8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C10D8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Информация по выявленным нарушениям при управлении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распоряжении государственной собственностью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3"/>
        <w:gridCol w:w="4953"/>
      </w:tblGrid>
      <w:tr w:rsidR="00CC10D8">
        <w:tc>
          <w:tcPr>
            <w:tcW w:w="4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фактов выявленных нарушений при управлении и распоряжении государственной собственностью, (в единицах).</w:t>
            </w:r>
          </w:p>
        </w:tc>
      </w:tr>
      <w:tr w:rsidR="00CC10D8">
        <w:tc>
          <w:tcPr>
            <w:tcW w:w="4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Нарушения при управлении и распоряжении государственной собственностью</w:t>
            </w:r>
          </w:p>
        </w:tc>
        <w:tc>
          <w:tcPr>
            <w:tcW w:w="4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CC10D8" w:rsidRDefault="00BC629D">
      <w:pPr>
        <w:spacing w:line="288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675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7"/>
        <w:gridCol w:w="1663"/>
        <w:gridCol w:w="1747"/>
        <w:gridCol w:w="576"/>
        <w:gridCol w:w="1412"/>
      </w:tblGrid>
      <w:tr w:rsidR="00CC10D8">
        <w:trPr>
          <w:trHeight w:val="300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 количестве объектов МО «Усть-Коксинский район» РА</w:t>
            </w:r>
          </w:p>
        </w:tc>
      </w:tr>
      <w:tr w:rsidR="00CC10D8">
        <w:trPr>
          <w:trHeight w:val="300"/>
        </w:trPr>
        <w:tc>
          <w:tcPr>
            <w:tcW w:w="4271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C10D8">
        <w:trPr>
          <w:trHeight w:val="675"/>
        </w:trPr>
        <w:tc>
          <w:tcPr>
            <w:tcW w:w="4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Счет БУ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объектов, шт.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(ф.0503168)</w:t>
            </w:r>
          </w:p>
        </w:tc>
      </w:tr>
      <w:tr w:rsidR="00CC10D8">
        <w:trPr>
          <w:trHeight w:val="300"/>
        </w:trPr>
        <w:tc>
          <w:tcPr>
            <w:tcW w:w="4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Жилые помещения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0101Х1000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10 152 480,40</w:t>
            </w:r>
          </w:p>
        </w:tc>
      </w:tr>
      <w:tr w:rsidR="00CC10D8">
        <w:trPr>
          <w:trHeight w:val="450"/>
        </w:trPr>
        <w:tc>
          <w:tcPr>
            <w:tcW w:w="4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Нежилые помещения (здания и сооружения)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0101Х2000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21 768 726,73 </w:t>
            </w:r>
          </w:p>
        </w:tc>
      </w:tr>
      <w:tr w:rsidR="00CC10D8">
        <w:trPr>
          <w:trHeight w:val="300"/>
        </w:trPr>
        <w:tc>
          <w:tcPr>
            <w:tcW w:w="4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0101Х3000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C10D8">
        <w:trPr>
          <w:trHeight w:val="300"/>
        </w:trPr>
        <w:tc>
          <w:tcPr>
            <w:tcW w:w="4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0101Х5000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12 455 481,80</w:t>
            </w:r>
          </w:p>
        </w:tc>
      </w:tr>
      <w:tr w:rsidR="00CC10D8">
        <w:trPr>
          <w:trHeight w:val="300"/>
        </w:trPr>
        <w:tc>
          <w:tcPr>
            <w:tcW w:w="4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Нематериальные активы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0102Х0000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35 000,00</w:t>
            </w:r>
          </w:p>
        </w:tc>
      </w:tr>
      <w:tr w:rsidR="00CC10D8">
        <w:trPr>
          <w:trHeight w:val="300"/>
        </w:trPr>
        <w:tc>
          <w:tcPr>
            <w:tcW w:w="4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Земля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0103Х1000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14 029 722,77</w:t>
            </w:r>
          </w:p>
        </w:tc>
      </w:tr>
      <w:tr w:rsidR="00CC10D8">
        <w:trPr>
          <w:trHeight w:val="450"/>
        </w:trPr>
        <w:tc>
          <w:tcPr>
            <w:tcW w:w="4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Недвижимое имущество в составе имущества казны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010851000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33 832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280,43</w:t>
            </w:r>
          </w:p>
        </w:tc>
      </w:tr>
      <w:tr w:rsidR="00CC10D8">
        <w:trPr>
          <w:trHeight w:val="450"/>
        </w:trPr>
        <w:tc>
          <w:tcPr>
            <w:tcW w:w="4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Нематериальные активы в составе имущества казны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010854000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C10D8">
        <w:trPr>
          <w:trHeight w:val="450"/>
        </w:trPr>
        <w:tc>
          <w:tcPr>
            <w:tcW w:w="4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Непроизведенные активы в составе имущества казны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010855000</w:t>
            </w:r>
          </w:p>
        </w:tc>
        <w:tc>
          <w:tcPr>
            <w:tcW w:w="1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56 085 511,31</w:t>
            </w:r>
          </w:p>
        </w:tc>
      </w:tr>
    </w:tbl>
    <w:p w:rsidR="00CC10D8" w:rsidRDefault="00BC629D">
      <w:pPr>
        <w:spacing w:line="288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tbl>
      <w:tblPr>
        <w:tblW w:w="9675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5"/>
        <w:gridCol w:w="1843"/>
        <w:gridCol w:w="6527"/>
      </w:tblGrid>
      <w:tr w:rsidR="00CC10D8">
        <w:trPr>
          <w:trHeight w:val="300"/>
        </w:trPr>
        <w:tc>
          <w:tcPr>
            <w:tcW w:w="96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Расшифровка расходов отраженных по коду видов расходов 853 "Уплата иных платежей"</w:t>
            </w:r>
          </w:p>
        </w:tc>
      </w:tr>
      <w:tr w:rsidR="00CC10D8">
        <w:trPr>
          <w:trHeight w:val="300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51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C10D8">
        <w:trPr>
          <w:trHeight w:val="690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Вид расходов</w:t>
            </w:r>
          </w:p>
        </w:tc>
        <w:tc>
          <w:tcPr>
            <w:tcW w:w="1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</w:tc>
        <w:tc>
          <w:tcPr>
            <w:tcW w:w="65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Пояснения</w:t>
            </w:r>
          </w:p>
        </w:tc>
      </w:tr>
      <w:tr w:rsidR="00CC10D8">
        <w:trPr>
          <w:trHeight w:val="300"/>
        </w:trPr>
        <w:tc>
          <w:tcPr>
            <w:tcW w:w="130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853</w:t>
            </w:r>
          </w:p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13,30</w:t>
            </w:r>
          </w:p>
        </w:tc>
        <w:tc>
          <w:tcPr>
            <w:tcW w:w="6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Пеня за негативное воздействие на окружающую среду</w:t>
            </w:r>
          </w:p>
        </w:tc>
      </w:tr>
      <w:tr w:rsidR="00CC10D8">
        <w:trPr>
          <w:trHeight w:val="900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5,31</w:t>
            </w:r>
          </w:p>
        </w:tc>
        <w:tc>
          <w:tcPr>
            <w:tcW w:w="6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Пеняза страховые взносы на обязательное социальное страхование</w:t>
            </w:r>
          </w:p>
        </w:tc>
      </w:tr>
      <w:tr w:rsidR="00CC10D8">
        <w:trPr>
          <w:trHeight w:val="600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1 579,92</w:t>
            </w:r>
          </w:p>
        </w:tc>
        <w:tc>
          <w:tcPr>
            <w:tcW w:w="6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за загрязнение</w:t>
            </w:r>
          </w:p>
        </w:tc>
      </w:tr>
      <w:tr w:rsidR="00CC10D8">
        <w:trPr>
          <w:trHeight w:val="900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6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 за нологовые нарушения</w:t>
            </w:r>
          </w:p>
        </w:tc>
      </w:tr>
      <w:tr w:rsidR="00CC10D8">
        <w:trPr>
          <w:trHeight w:val="900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16 381,30</w:t>
            </w:r>
          </w:p>
        </w:tc>
        <w:tc>
          <w:tcPr>
            <w:tcW w:w="6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Штрафы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нарушение законодательства о налогах и сборах, законодательства о страховых взносах</w:t>
            </w:r>
          </w:p>
        </w:tc>
      </w:tr>
      <w:tr w:rsidR="00CC10D8">
        <w:trPr>
          <w:trHeight w:val="900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24 892,84</w:t>
            </w:r>
          </w:p>
        </w:tc>
        <w:tc>
          <w:tcPr>
            <w:tcW w:w="6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 за нарушение законодательства о закупках и нарушение условий контрактов (договоров)</w:t>
            </w:r>
          </w:p>
        </w:tc>
      </w:tr>
      <w:tr w:rsidR="00CC10D8">
        <w:trPr>
          <w:trHeight w:val="900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466 000,00</w:t>
            </w:r>
          </w:p>
        </w:tc>
        <w:tc>
          <w:tcPr>
            <w:tcW w:w="6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Членские взносы на осуществление деятельности Ассоциац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"Совет муниципальных образований Республики Алтай"</w:t>
            </w:r>
          </w:p>
        </w:tc>
      </w:tr>
    </w:tbl>
    <w:p w:rsidR="00CC10D8" w:rsidRDefault="00BC629D">
      <w:pPr>
        <w:spacing w:line="288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CC10D8" w:rsidRDefault="00BC629D">
      <w:pPr>
        <w:spacing w:line="288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00"/>
        </w:rPr>
        <w:t> 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об остатках, сложившихся в местных бюджетах по субсидиям, субвенциях и иным межбюджетным трансфертам, импеющим целевое назначение, предоставленным из республиканского бюджета Республики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Алтай местным бюджетам в Республике Алтай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tbl>
      <w:tblPr>
        <w:tblW w:w="915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6"/>
        <w:gridCol w:w="31"/>
        <w:gridCol w:w="1053"/>
        <w:gridCol w:w="18"/>
        <w:gridCol w:w="1115"/>
        <w:gridCol w:w="1405"/>
        <w:gridCol w:w="1161"/>
        <w:gridCol w:w="3087"/>
      </w:tblGrid>
      <w:tr w:rsidR="00CC10D8">
        <w:tc>
          <w:tcPr>
            <w:tcW w:w="18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КБК расходов республиканского бюджета РА</w:t>
            </w:r>
          </w:p>
        </w:tc>
        <w:tc>
          <w:tcPr>
            <w:tcW w:w="13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цели</w:t>
            </w:r>
          </w:p>
        </w:tc>
        <w:tc>
          <w:tcPr>
            <w:tcW w:w="43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остатка на 01.01.2024 г., рублей</w:t>
            </w:r>
          </w:p>
        </w:tc>
        <w:tc>
          <w:tcPr>
            <w:tcW w:w="15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Причина образования остатка</w:t>
            </w:r>
          </w:p>
        </w:tc>
      </w:tr>
      <w:tr w:rsidR="00CC10D8">
        <w:tc>
          <w:tcPr>
            <w:tcW w:w="18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/>
        </w:tc>
        <w:tc>
          <w:tcPr>
            <w:tcW w:w="13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5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</w:tr>
      <w:tr w:rsidR="00CC10D8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20229999050000150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2904</w:t>
            </w:r>
          </w:p>
        </w:tc>
        <w:tc>
          <w:tcPr>
            <w:tcW w:w="1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6860,00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6860,00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небыло возможности произвести выплату получателю из-за не предоставления документов </w:t>
            </w:r>
          </w:p>
        </w:tc>
      </w:tr>
      <w:tr w:rsidR="00CC10D8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20230024050000150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2941</w:t>
            </w:r>
          </w:p>
        </w:tc>
        <w:tc>
          <w:tcPr>
            <w:tcW w:w="1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54462,06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54462,06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Остались невостребованными</w:t>
            </w:r>
          </w:p>
        </w:tc>
      </w:tr>
      <w:tr w:rsidR="00CC10D8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20229999050000150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2919</w:t>
            </w:r>
          </w:p>
        </w:tc>
        <w:tc>
          <w:tcPr>
            <w:tcW w:w="1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4779383,44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4779383,44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Остались невостребованными</w:t>
            </w:r>
          </w:p>
        </w:tc>
      </w:tr>
      <w:tr w:rsidR="00CC10D8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20220077050000150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2974</w:t>
            </w:r>
          </w:p>
        </w:tc>
        <w:tc>
          <w:tcPr>
            <w:tcW w:w="1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10100000,00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10100000,00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Остались невостребованными</w:t>
            </w:r>
          </w:p>
        </w:tc>
      </w:tr>
      <w:tr w:rsidR="00CC10D8"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20225497050000150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22-54970-00000-00000</w:t>
            </w:r>
          </w:p>
        </w:tc>
        <w:tc>
          <w:tcPr>
            <w:tcW w:w="1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85390,20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85390,20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Остались невостребованными</w:t>
            </w:r>
          </w:p>
        </w:tc>
      </w:tr>
      <w:tr w:rsidR="00CC10D8">
        <w:trPr>
          <w:trHeight w:val="1528"/>
        </w:trPr>
        <w:tc>
          <w:tcPr>
            <w:tcW w:w="187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074070107101S4500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Денежные средства  на ежемесячные надбавки молодым специалистам  не использованы по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причине больничных  воспитателей</w:t>
            </w:r>
          </w:p>
        </w:tc>
      </w:tr>
      <w:tr w:rsidR="00CC10D8">
        <w:trPr>
          <w:trHeight w:val="1748"/>
        </w:trPr>
        <w:tc>
          <w:tcPr>
            <w:tcW w:w="187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074070207201S4500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29912,43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29912,43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Денежнве средства  на ежемесячные надбавки молодым специалистам  не использованы по причине больничных  педагогов</w:t>
            </w:r>
          </w:p>
        </w:tc>
      </w:tr>
      <w:tr w:rsidR="00CC10D8">
        <w:trPr>
          <w:trHeight w:val="1668"/>
        </w:trPr>
        <w:tc>
          <w:tcPr>
            <w:tcW w:w="187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074070207202S7500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294931,22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294931,22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Денежные средства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по модернизации  МБОУ "Горбуновская ООШ" за стройконтроль, документы на оплату сдали 29 декабря 2023г</w:t>
            </w:r>
          </w:p>
        </w:tc>
      </w:tr>
      <w:tr w:rsidR="00CC10D8">
        <w:trPr>
          <w:trHeight w:val="1391"/>
        </w:trPr>
        <w:tc>
          <w:tcPr>
            <w:tcW w:w="187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074070207201L3042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23-5304000000-00002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525952,83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5312,65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531265,48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Денежные средства по организации   горячего бесплатного питания   1-4 класса  не использованы в полном объеме по причине </w:t>
            </w:r>
          </w:p>
        </w:tc>
      </w:tr>
      <w:tr w:rsidR="00CC10D8">
        <w:trPr>
          <w:trHeight w:val="2059"/>
        </w:trPr>
        <w:tc>
          <w:tcPr>
            <w:tcW w:w="187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07407020720153032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29-53030-0000-00000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337858,87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337858,87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Денежные средства  по вознаграждению за классное руководство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педагогическим работникам  не использованно в полном объеме поп ричине больничных педагогов</w:t>
            </w:r>
          </w:p>
        </w:tc>
      </w:tr>
      <w:tr w:rsidR="00CC10D8">
        <w:trPr>
          <w:trHeight w:val="2700"/>
        </w:trPr>
        <w:tc>
          <w:tcPr>
            <w:tcW w:w="187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0740702072EB51790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23-51790-0000-0000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19014,2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192,06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19206,26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Денежнык средства по обеспечению деятельности  советников  директоров  по воспитанию и взаимодействию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 с детскими общественными объедениением  не использованны по причине больничных  советников.</w:t>
            </w:r>
          </w:p>
        </w:tc>
      </w:tr>
    </w:tbl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Расшифровка показателей, отраженных в Справке по заключению счетов бюджетного учета отчетного финансового года (ф. 0503110) (справочно)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780"/>
        <w:gridCol w:w="1155"/>
        <w:gridCol w:w="1545"/>
        <w:gridCol w:w="2418"/>
      </w:tblGrid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строки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показаттеля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КОСГУ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Пояснения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оценки активов и обязательств, всего (включая имущество казны)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6 771 171,75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1ХХ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Х, кроме операций с материальными запасами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6 771 171,75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Изменение кадастровой стоимости, переоценка объектов основных средств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1ХХ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в части операций с материальными запасами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204.5Х, 205.ХХ, 206.ХХ, 208.ХХ, 209.ХХ, 210.ХХ, 215.5Х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204.2Х, 215.2Х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1.5 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204.3Х, 215.3Х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207.ХХ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302.ХХ, 303.ХХ, 304.ХХ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корреспонденции со счетами 301.ХХ 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части полученных кредитов и займов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301.ХХ в части долговых ценных бумаг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Иное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Чрезвычайные доходы от операций с активами, всего (включая имущество казны)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корреспонденции со счетами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1ХХ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Х, кроме операций с материальными запасами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1ХХ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в части операций с материальными запасами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2ХХ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Х, за исключением счета 207.ХХ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207.ХХ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Иное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неденежные безвозмездные поступления, всего (включая имущество казны)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265 604,48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1ХХ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по операциям с нефинансовыми активами, кроме операций с материальными запасами и непроизведенными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активами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1ХХ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по операциям с материальными запасами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счетами1ХХ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по операциям с непроизведенными активами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265 604,48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оприходование неучтенныхучастков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корреспонденции со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счетами 204.5Х, 205.ХХ, 206.ХХ, 208.ХХ, 209.ХХ, 210.ХХ, 215.5Х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204.2Х, 215.2Х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корреспонденции со счетами 204.3Х, 215.3Х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Иное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Чрезвычайные расходы по операциям с активами, всего (включая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имущество казны)</w:t>
            </w:r>
          </w:p>
        </w:tc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операций с нефинансовыми активами, кроме ччрезвычайных расходов от операций с материальными запасами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операций с материальными запасами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C10D8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Иное</w:t>
            </w:r>
          </w:p>
        </w:tc>
        <w:tc>
          <w:tcPr>
            <w:tcW w:w="11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C10D8" w:rsidRDefault="00CC10D8">
            <w:pPr>
              <w:rPr>
                <w:color w:val="000000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0D8" w:rsidRDefault="00BC629D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CC10D8" w:rsidRDefault="00BC629D">
      <w:pPr>
        <w:spacing w:line="288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 </w:t>
      </w:r>
    </w:p>
    <w:p w:rsidR="00CC10D8" w:rsidRDefault="00BC629D">
      <w:pPr>
        <w:spacing w:line="288" w:lineRule="auto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5. Прочие вопросы деятельности субъекта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бюджетной отчетности</w:t>
      </w:r>
    </w:p>
    <w:p w:rsidR="00CC10D8" w:rsidRDefault="00BC629D">
      <w:pPr>
        <w:spacing w:line="288" w:lineRule="auto"/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отчетном периоде при проведении годовой инвентаризации активов и обязательств, главными распорядителями бюджетных средств МО «Усть-Коксинский район» РА расхождений с данными бухгалтерского учета не выявлено.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 обесценения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ъектов нефинансовых активов не выявлены.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сведениях об исполнение судебных решений по денежным обязательствам отражено:</w:t>
      </w:r>
    </w:p>
    <w:p w:rsidR="00CC10D8" w:rsidRDefault="00BC629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371 000,00 руб., в Администрации МО «Усть-Коксинский район» РА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т.ч.: 1.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Арбитражный суд Республики Алтай определил назначение строительно-технической экспертизы и приостановлении производства по делу (резолютивная часть) Дело № А02-1331/2023 от 04 декабря 2023 года о том, что соответствуют ли выполненные работы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строительству водопровода микрорайона «Башталинка» требованиям договора субподряда от 12 ноября 2021 г. №24/2021, заключенного между МУП «Тепловодстрой Сервис» и ООО «НОВАТЭК», а также требованиям проектно-сметной документации на объект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«Строительство водо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провода микрорайона «Башталинка»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Усть-Кокса Усть-Коксинского района Республики Алтай» и требованиям СНиП. 2. Арбитражный суд Республики Алтай определил назначение судебно-строительной экспертизы по делу № А02-1162/2023 от  03 ноября 2023 года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производства по делу. На разрешение экспертов поставить следующие вопросы: Определить техническое состояние пожарных резервуаров, построенных в рамках Муниципального контракта №15 от 04.07.2019г. на строительства объекта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:«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Строительство общеобразо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вательной школы на 275 учащихся в с. Усть-Кокса, Усть-Коксинского района, Республики Алтай»; определить причины повреждения пожарных резервуаров; определить стоимость устранения недостатков</w:t>
      </w:r>
      <w:r>
        <w:rPr>
          <w:rFonts w:ascii="Calibri" w:eastAsia="Calibri" w:hAnsi="Calibri" w:cs="Calibri"/>
          <w:color w:val="000000"/>
          <w:sz w:val="24"/>
          <w:szCs w:val="24"/>
        </w:rPr>
        <w:t>.</w:t>
      </w:r>
    </w:p>
    <w:p w:rsidR="00CC10D8" w:rsidRDefault="00BC629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 обесценения объектов нефинансовых активов не выявлены.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начисления амортизации, способы ведения учета приведены в Таблице N 4 "Сведения об основных положениях учетной политики".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связи  с отсутствием числовых показателей в составе бюджетной отчетности за 2023 год не предоставлены: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Сведения о направле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ниях деятельности (ф. 0503160_т.1);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Сведения об исполнении текстовых статей закона (решения) о бюджете (ф. 0503160_т.3);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 Сведения о проведении инвентаризаций (ф. 0503160G_т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Сведения о формировании и использовании резерва Пенсионного фонда Российс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Федерации по обязательному пенсионному страхованию (ф. 0503160_т.8);</w:t>
      </w:r>
    </w:p>
    <w:p w:rsidR="00CC10D8" w:rsidRDefault="00BC629D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Сведения о формировании и использовании выплатного резерва Пенсионного фонда Российской Федерации (ф. 0503160_т.9);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Сведения о формировании и использовании средств пенсионных нако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плений застрахованных лиц, которым установлена срочная пенсионная выплата (ф. 0503160_т.10);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Сведения о целевых иностранных кредитах </w:t>
      </w:r>
      <w:hyperlink r:id="rId6">
        <w:r>
          <w:rPr>
            <w:rStyle w:val="a4"/>
            <w:rFonts w:ascii="Calibri" w:eastAsia="Calibri" w:hAnsi="Calibri" w:cs="Calibri"/>
            <w:color w:val="000000"/>
            <w:sz w:val="24"/>
            <w:szCs w:val="24"/>
            <w:u w:val="none"/>
          </w:rPr>
          <w:t>(ф. 0503167)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Сведения об изменении остатков валюты баланса (средства во временном распоряжении) (ф.0503173_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Сведения о доходах бюджета от перечисления части прибыли (дивидентов) государственных (муниципальных) унитарных предприятий,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организаций с государственным участием в капитале (ф. 0503174);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Расшифровка дебиторской задолженности по контрактным обязательствам (ф. 0503192);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Расшифровка дебиторской задолженности по субсидиям организациям (ф. 0503193).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Courier New" w:eastAsia="Courier New" w:hAnsi="Courier New" w:cs="Courier New"/>
          <w:color w:val="000000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C10D8" w:rsidRDefault="00BC629D">
      <w:pPr>
        <w:spacing w:line="288" w:lineRule="auto"/>
        <w:ind w:firstLine="720"/>
        <w:jc w:val="both"/>
        <w:rPr>
          <w:color w:val="000000"/>
        </w:rPr>
      </w:pPr>
      <w:r>
        <w:rPr>
          <w:rFonts w:ascii="Courier New" w:eastAsia="Courier New" w:hAnsi="Courier New" w:cs="Courier New"/>
          <w:color w:val="000000"/>
        </w:rPr>
        <w:t> </w:t>
      </w:r>
    </w:p>
    <w:p w:rsidR="00CC10D8" w:rsidRDefault="00BC629D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CC10D8" w:rsidRDefault="00BC629D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CC10D8" w:rsidRDefault="00BC629D">
      <w:r>
        <w:t> </w:t>
      </w:r>
    </w:p>
    <w:p w:rsidR="00CC10D8" w:rsidRDefault="00BC629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4716"/>
        <w:gridCol w:w="1432"/>
      </w:tblGrid>
      <w:tr w:rsidR="00CC10D8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Фролова Ольга Дмитриевна</w:t>
            </w:r>
          </w:p>
        </w:tc>
      </w:tr>
      <w:tr w:rsidR="00CC10D8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C10D8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C10D8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CC10D8">
            <w:pPr>
              <w:rPr>
                <w:sz w:val="24"/>
              </w:rPr>
            </w:pPr>
          </w:p>
        </w:tc>
      </w:tr>
      <w:tr w:rsidR="00CC10D8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C10D8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</w:tr>
      <w:tr w:rsidR="00CC10D8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C10D8" w:rsidRDefault="00CC10D8">
            <w:pPr>
              <w:rPr>
                <w:sz w:val="24"/>
              </w:rPr>
            </w:pPr>
          </w:p>
        </w:tc>
      </w:tr>
      <w:tr w:rsidR="00CC10D8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C10D8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BC629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CC10D8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10D8" w:rsidRDefault="00CC10D8">
            <w:pPr>
              <w:rPr>
                <w:sz w:val="24"/>
              </w:rPr>
            </w:pPr>
          </w:p>
        </w:tc>
      </w:tr>
    </w:tbl>
    <w:p w:rsidR="00CC10D8" w:rsidRDefault="00BC629D">
      <w:r>
        <w:rPr>
          <w:rFonts w:ascii="Times New Roman" w:eastAsia="Times New Roman" w:hAnsi="Times New Roman" w:cs="Times New Roman"/>
          <w:sz w:val="24"/>
          <w:szCs w:val="24"/>
        </w:rPr>
        <w:t>Документ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подписан электронной подписью. Дата представления 03.04.2024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УТЯТНИКОВА ИРИНА МИХАЙЛОВНА, Сертификат: 5A7617F3F3EFF111ED6AAD6A2CB4831A, Действителен: с 07.06.2023 по 30.08.2024),Руководитель(Фролова Ольга Дмитриевна, Сертификат: 4DADC788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6CB6125C2A52DBACB6B3A2A1, Действителен: с 06.09.2023 по 29.11.2024)        </w:t>
      </w:r>
    </w:p>
    <w:sectPr w:rsidR="00CC10D8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8656"/>
    <w:multiLevelType w:val="hybridMultilevel"/>
    <w:tmpl w:val="1130C23E"/>
    <w:lvl w:ilvl="0" w:tplc="2F014687">
      <w:start w:val="4"/>
      <w:numFmt w:val="decimal"/>
      <w:lvlText w:val="%1."/>
      <w:lvlJc w:val="left"/>
      <w:pPr>
        <w:ind w:left="720" w:hanging="360"/>
      </w:pPr>
    </w:lvl>
    <w:lvl w:ilvl="1" w:tplc="3F05A0F6">
      <w:start w:val="1"/>
      <w:numFmt w:val="decimal"/>
      <w:lvlText w:val="%2."/>
      <w:lvlJc w:val="left"/>
      <w:pPr>
        <w:ind w:left="1440" w:hanging="360"/>
      </w:pPr>
    </w:lvl>
    <w:lvl w:ilvl="2" w:tplc="06F7F884">
      <w:start w:val="1"/>
      <w:numFmt w:val="decimal"/>
      <w:lvlText w:val="%3."/>
      <w:lvlJc w:val="left"/>
      <w:pPr>
        <w:ind w:left="2160" w:hanging="360"/>
      </w:pPr>
    </w:lvl>
    <w:lvl w:ilvl="3" w:tplc="0C0044CD">
      <w:start w:val="1"/>
      <w:numFmt w:val="decimal"/>
      <w:lvlText w:val="%4."/>
      <w:lvlJc w:val="left"/>
      <w:pPr>
        <w:ind w:left="2880" w:hanging="360"/>
      </w:pPr>
    </w:lvl>
    <w:lvl w:ilvl="4" w:tplc="62DD527A">
      <w:start w:val="1"/>
      <w:numFmt w:val="decimal"/>
      <w:lvlText w:val="%5."/>
      <w:lvlJc w:val="left"/>
      <w:pPr>
        <w:ind w:left="3600" w:hanging="360"/>
      </w:pPr>
    </w:lvl>
    <w:lvl w:ilvl="5" w:tplc="6363BE0E">
      <w:start w:val="1"/>
      <w:numFmt w:val="decimal"/>
      <w:lvlText w:val="%6."/>
      <w:lvlJc w:val="left"/>
      <w:pPr>
        <w:ind w:left="4320" w:hanging="360"/>
      </w:pPr>
    </w:lvl>
    <w:lvl w:ilvl="6" w:tplc="24DEA57B">
      <w:start w:val="1"/>
      <w:numFmt w:val="decimal"/>
      <w:lvlText w:val="%7."/>
      <w:lvlJc w:val="left"/>
      <w:pPr>
        <w:ind w:left="5040" w:hanging="360"/>
      </w:pPr>
    </w:lvl>
    <w:lvl w:ilvl="7" w:tplc="57ABDB78">
      <w:start w:val="1"/>
      <w:numFmt w:val="decimal"/>
      <w:lvlText w:val="%8."/>
      <w:lvlJc w:val="left"/>
      <w:pPr>
        <w:ind w:left="5760" w:hanging="360"/>
      </w:pPr>
    </w:lvl>
    <w:lvl w:ilvl="8" w:tplc="5590C407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0E235894"/>
    <w:multiLevelType w:val="hybridMultilevel"/>
    <w:tmpl w:val="90EE5EFA"/>
    <w:lvl w:ilvl="0" w:tplc="52C3737C">
      <w:start w:val="2"/>
      <w:numFmt w:val="decimal"/>
      <w:lvlText w:val="%1."/>
      <w:lvlJc w:val="left"/>
      <w:pPr>
        <w:ind w:left="720" w:hanging="360"/>
      </w:pPr>
    </w:lvl>
    <w:lvl w:ilvl="1" w:tplc="7C3BECA1">
      <w:start w:val="1"/>
      <w:numFmt w:val="decimal"/>
      <w:lvlText w:val="%2."/>
      <w:lvlJc w:val="left"/>
      <w:pPr>
        <w:ind w:left="1440" w:hanging="360"/>
      </w:pPr>
    </w:lvl>
    <w:lvl w:ilvl="2" w:tplc="2A088E55">
      <w:start w:val="1"/>
      <w:numFmt w:val="decimal"/>
      <w:lvlText w:val="%3."/>
      <w:lvlJc w:val="left"/>
      <w:pPr>
        <w:ind w:left="2160" w:hanging="360"/>
      </w:pPr>
    </w:lvl>
    <w:lvl w:ilvl="3" w:tplc="7DE72DB6">
      <w:start w:val="1"/>
      <w:numFmt w:val="decimal"/>
      <w:lvlText w:val="%4."/>
      <w:lvlJc w:val="left"/>
      <w:pPr>
        <w:ind w:left="2880" w:hanging="360"/>
      </w:pPr>
    </w:lvl>
    <w:lvl w:ilvl="4" w:tplc="3F0DFB3D">
      <w:start w:val="1"/>
      <w:numFmt w:val="decimal"/>
      <w:lvlText w:val="%5."/>
      <w:lvlJc w:val="left"/>
      <w:pPr>
        <w:ind w:left="3600" w:hanging="360"/>
      </w:pPr>
    </w:lvl>
    <w:lvl w:ilvl="5" w:tplc="1CD274C0">
      <w:start w:val="1"/>
      <w:numFmt w:val="decimal"/>
      <w:lvlText w:val="%6."/>
      <w:lvlJc w:val="left"/>
      <w:pPr>
        <w:ind w:left="4320" w:hanging="360"/>
      </w:pPr>
    </w:lvl>
    <w:lvl w:ilvl="6" w:tplc="41007C82">
      <w:start w:val="1"/>
      <w:numFmt w:val="decimal"/>
      <w:lvlText w:val="%7."/>
      <w:lvlJc w:val="left"/>
      <w:pPr>
        <w:ind w:left="5040" w:hanging="360"/>
      </w:pPr>
    </w:lvl>
    <w:lvl w:ilvl="7" w:tplc="55B3D65A">
      <w:start w:val="1"/>
      <w:numFmt w:val="decimal"/>
      <w:lvlText w:val="%8."/>
      <w:lvlJc w:val="left"/>
      <w:pPr>
        <w:ind w:left="5760" w:hanging="360"/>
      </w:pPr>
    </w:lvl>
    <w:lvl w:ilvl="8" w:tplc="73532391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1C40F009"/>
    <w:multiLevelType w:val="hybridMultilevel"/>
    <w:tmpl w:val="EBEC52D8"/>
    <w:lvl w:ilvl="0" w:tplc="4AB4F46E">
      <w:start w:val="3"/>
      <w:numFmt w:val="decimal"/>
      <w:lvlText w:val="%1."/>
      <w:lvlJc w:val="left"/>
      <w:pPr>
        <w:ind w:left="720" w:hanging="360"/>
      </w:pPr>
    </w:lvl>
    <w:lvl w:ilvl="1" w:tplc="506BC690">
      <w:start w:val="1"/>
      <w:numFmt w:val="decimal"/>
      <w:lvlText w:val="%2."/>
      <w:lvlJc w:val="left"/>
      <w:pPr>
        <w:ind w:left="1440" w:hanging="360"/>
      </w:pPr>
    </w:lvl>
    <w:lvl w:ilvl="2" w:tplc="129D4D5B">
      <w:start w:val="1"/>
      <w:numFmt w:val="decimal"/>
      <w:lvlText w:val="%3."/>
      <w:lvlJc w:val="left"/>
      <w:pPr>
        <w:ind w:left="2160" w:hanging="360"/>
      </w:pPr>
    </w:lvl>
    <w:lvl w:ilvl="3" w:tplc="51AFC7AE">
      <w:start w:val="1"/>
      <w:numFmt w:val="decimal"/>
      <w:lvlText w:val="%4."/>
      <w:lvlJc w:val="left"/>
      <w:pPr>
        <w:ind w:left="2880" w:hanging="360"/>
      </w:pPr>
    </w:lvl>
    <w:lvl w:ilvl="4" w:tplc="35714530">
      <w:start w:val="1"/>
      <w:numFmt w:val="decimal"/>
      <w:lvlText w:val="%5."/>
      <w:lvlJc w:val="left"/>
      <w:pPr>
        <w:ind w:left="3600" w:hanging="360"/>
      </w:pPr>
    </w:lvl>
    <w:lvl w:ilvl="5" w:tplc="4A70E84B">
      <w:start w:val="1"/>
      <w:numFmt w:val="decimal"/>
      <w:lvlText w:val="%6."/>
      <w:lvlJc w:val="left"/>
      <w:pPr>
        <w:ind w:left="4320" w:hanging="360"/>
      </w:pPr>
    </w:lvl>
    <w:lvl w:ilvl="6" w:tplc="2B28D41B">
      <w:start w:val="1"/>
      <w:numFmt w:val="decimal"/>
      <w:lvlText w:val="%7."/>
      <w:lvlJc w:val="left"/>
      <w:pPr>
        <w:ind w:left="5040" w:hanging="360"/>
      </w:pPr>
    </w:lvl>
    <w:lvl w:ilvl="7" w:tplc="37BF0779">
      <w:start w:val="1"/>
      <w:numFmt w:val="decimal"/>
      <w:lvlText w:val="%8."/>
      <w:lvlJc w:val="left"/>
      <w:pPr>
        <w:ind w:left="5760" w:hanging="360"/>
      </w:pPr>
    </w:lvl>
    <w:lvl w:ilvl="8" w:tplc="08FEC5C7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2F32BEF9"/>
    <w:multiLevelType w:val="hybridMultilevel"/>
    <w:tmpl w:val="E6AE47FE"/>
    <w:lvl w:ilvl="0" w:tplc="589E4599">
      <w:start w:val="1"/>
      <w:numFmt w:val="decimal"/>
      <w:lvlText w:val="%1."/>
      <w:lvlJc w:val="left"/>
      <w:pPr>
        <w:ind w:left="720" w:hanging="360"/>
      </w:pPr>
    </w:lvl>
    <w:lvl w:ilvl="1" w:tplc="539CA39F">
      <w:start w:val="1"/>
      <w:numFmt w:val="decimal"/>
      <w:lvlText w:val="%2."/>
      <w:lvlJc w:val="left"/>
      <w:pPr>
        <w:ind w:left="1440" w:hanging="360"/>
      </w:pPr>
    </w:lvl>
    <w:lvl w:ilvl="2" w:tplc="56236384">
      <w:start w:val="1"/>
      <w:numFmt w:val="decimal"/>
      <w:lvlText w:val="%3."/>
      <w:lvlJc w:val="left"/>
      <w:pPr>
        <w:ind w:left="2160" w:hanging="360"/>
      </w:pPr>
    </w:lvl>
    <w:lvl w:ilvl="3" w:tplc="6E7DE523">
      <w:start w:val="1"/>
      <w:numFmt w:val="decimal"/>
      <w:lvlText w:val="%4."/>
      <w:lvlJc w:val="left"/>
      <w:pPr>
        <w:ind w:left="2880" w:hanging="360"/>
      </w:pPr>
    </w:lvl>
    <w:lvl w:ilvl="4" w:tplc="1828FAFF">
      <w:start w:val="1"/>
      <w:numFmt w:val="decimal"/>
      <w:lvlText w:val="%5."/>
      <w:lvlJc w:val="left"/>
      <w:pPr>
        <w:ind w:left="3600" w:hanging="360"/>
      </w:pPr>
    </w:lvl>
    <w:lvl w:ilvl="5" w:tplc="6575EC77">
      <w:start w:val="1"/>
      <w:numFmt w:val="decimal"/>
      <w:lvlText w:val="%6."/>
      <w:lvlJc w:val="left"/>
      <w:pPr>
        <w:ind w:left="4320" w:hanging="360"/>
      </w:pPr>
    </w:lvl>
    <w:lvl w:ilvl="6" w:tplc="02A874B6">
      <w:start w:val="1"/>
      <w:numFmt w:val="decimal"/>
      <w:lvlText w:val="%7."/>
      <w:lvlJc w:val="left"/>
      <w:pPr>
        <w:ind w:left="5040" w:hanging="360"/>
      </w:pPr>
    </w:lvl>
    <w:lvl w:ilvl="7" w:tplc="2B352739">
      <w:start w:val="1"/>
      <w:numFmt w:val="decimal"/>
      <w:lvlText w:val="%8."/>
      <w:lvlJc w:val="left"/>
      <w:pPr>
        <w:ind w:left="5760" w:hanging="360"/>
      </w:pPr>
    </w:lvl>
    <w:lvl w:ilvl="8" w:tplc="3F528D34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3F34A38D"/>
    <w:multiLevelType w:val="hybridMultilevel"/>
    <w:tmpl w:val="23026F1C"/>
    <w:lvl w:ilvl="0" w:tplc="1EE8A4B3">
      <w:start w:val="1"/>
      <w:numFmt w:val="decimal"/>
      <w:lvlText w:val="%1."/>
      <w:lvlJc w:val="left"/>
      <w:pPr>
        <w:ind w:left="720" w:hanging="360"/>
      </w:pPr>
    </w:lvl>
    <w:lvl w:ilvl="1" w:tplc="71F27659">
      <w:start w:val="4"/>
      <w:numFmt w:val="decimal"/>
      <w:lvlText w:val="%2."/>
      <w:lvlJc w:val="left"/>
      <w:pPr>
        <w:ind w:left="1440" w:hanging="360"/>
      </w:pPr>
    </w:lvl>
    <w:lvl w:ilvl="2" w:tplc="2D41F2FE">
      <w:start w:val="1"/>
      <w:numFmt w:val="decimal"/>
      <w:lvlText w:val="%3."/>
      <w:lvlJc w:val="left"/>
      <w:pPr>
        <w:ind w:left="2160" w:hanging="360"/>
      </w:pPr>
    </w:lvl>
    <w:lvl w:ilvl="3" w:tplc="1B8235D3">
      <w:start w:val="1"/>
      <w:numFmt w:val="decimal"/>
      <w:lvlText w:val="%4."/>
      <w:lvlJc w:val="left"/>
      <w:pPr>
        <w:ind w:left="2880" w:hanging="360"/>
      </w:pPr>
    </w:lvl>
    <w:lvl w:ilvl="4" w:tplc="508C8A23">
      <w:start w:val="1"/>
      <w:numFmt w:val="decimal"/>
      <w:lvlText w:val="%5."/>
      <w:lvlJc w:val="left"/>
      <w:pPr>
        <w:ind w:left="3600" w:hanging="360"/>
      </w:pPr>
    </w:lvl>
    <w:lvl w:ilvl="5" w:tplc="0479F4E4">
      <w:start w:val="1"/>
      <w:numFmt w:val="decimal"/>
      <w:lvlText w:val="%6."/>
      <w:lvlJc w:val="left"/>
      <w:pPr>
        <w:ind w:left="4320" w:hanging="360"/>
      </w:pPr>
    </w:lvl>
    <w:lvl w:ilvl="6" w:tplc="356ED7DE">
      <w:start w:val="1"/>
      <w:numFmt w:val="decimal"/>
      <w:lvlText w:val="%7."/>
      <w:lvlJc w:val="left"/>
      <w:pPr>
        <w:ind w:left="5040" w:hanging="360"/>
      </w:pPr>
    </w:lvl>
    <w:lvl w:ilvl="7" w:tplc="2F8EBEE5">
      <w:start w:val="1"/>
      <w:numFmt w:val="decimal"/>
      <w:lvlText w:val="%8."/>
      <w:lvlJc w:val="left"/>
      <w:pPr>
        <w:ind w:left="5760" w:hanging="360"/>
      </w:pPr>
    </w:lvl>
    <w:lvl w:ilvl="8" w:tplc="0B3C453C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4611311F"/>
    <w:multiLevelType w:val="hybridMultilevel"/>
    <w:tmpl w:val="9BEE7132"/>
    <w:lvl w:ilvl="0" w:tplc="7E3E9AE1">
      <w:start w:val="1"/>
      <w:numFmt w:val="decimal"/>
      <w:lvlText w:val="%1."/>
      <w:lvlJc w:val="left"/>
      <w:pPr>
        <w:ind w:left="720" w:hanging="360"/>
      </w:pPr>
    </w:lvl>
    <w:lvl w:ilvl="1" w:tplc="3EF72CD6">
      <w:start w:val="1"/>
      <w:numFmt w:val="decimal"/>
      <w:lvlText w:val="%2."/>
      <w:lvlJc w:val="left"/>
      <w:pPr>
        <w:ind w:left="1440" w:hanging="360"/>
      </w:pPr>
    </w:lvl>
    <w:lvl w:ilvl="2" w:tplc="25EF08BC">
      <w:start w:val="1"/>
      <w:numFmt w:val="decimal"/>
      <w:lvlText w:val="%3."/>
      <w:lvlJc w:val="left"/>
      <w:pPr>
        <w:ind w:left="2160" w:hanging="360"/>
      </w:pPr>
    </w:lvl>
    <w:lvl w:ilvl="3" w:tplc="526B1D58">
      <w:start w:val="1"/>
      <w:numFmt w:val="decimal"/>
      <w:lvlText w:val="%4."/>
      <w:lvlJc w:val="left"/>
      <w:pPr>
        <w:ind w:left="2880" w:hanging="360"/>
      </w:pPr>
    </w:lvl>
    <w:lvl w:ilvl="4" w:tplc="30B941E6">
      <w:start w:val="1"/>
      <w:numFmt w:val="decimal"/>
      <w:lvlText w:val="%5."/>
      <w:lvlJc w:val="left"/>
      <w:pPr>
        <w:ind w:left="3600" w:hanging="360"/>
      </w:pPr>
    </w:lvl>
    <w:lvl w:ilvl="5" w:tplc="26D2032B">
      <w:start w:val="1"/>
      <w:numFmt w:val="decimal"/>
      <w:lvlText w:val="%6."/>
      <w:lvlJc w:val="left"/>
      <w:pPr>
        <w:ind w:left="4320" w:hanging="360"/>
      </w:pPr>
    </w:lvl>
    <w:lvl w:ilvl="6" w:tplc="02523263">
      <w:start w:val="1"/>
      <w:numFmt w:val="decimal"/>
      <w:lvlText w:val="%7."/>
      <w:lvlJc w:val="left"/>
      <w:pPr>
        <w:ind w:left="5040" w:hanging="360"/>
      </w:pPr>
    </w:lvl>
    <w:lvl w:ilvl="7" w:tplc="077831DF">
      <w:start w:val="1"/>
      <w:numFmt w:val="decimal"/>
      <w:lvlText w:val="%8."/>
      <w:lvlJc w:val="left"/>
      <w:pPr>
        <w:ind w:left="5760" w:hanging="360"/>
      </w:pPr>
    </w:lvl>
    <w:lvl w:ilvl="8" w:tplc="596919D6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5D07EF50"/>
    <w:multiLevelType w:val="hybridMultilevel"/>
    <w:tmpl w:val="AD423B02"/>
    <w:lvl w:ilvl="0" w:tplc="2CB540D8">
      <w:start w:val="2"/>
      <w:numFmt w:val="decimal"/>
      <w:lvlText w:val="%1."/>
      <w:lvlJc w:val="left"/>
      <w:pPr>
        <w:ind w:left="720" w:hanging="360"/>
      </w:pPr>
    </w:lvl>
    <w:lvl w:ilvl="1" w:tplc="42D7783F">
      <w:start w:val="1"/>
      <w:numFmt w:val="decimal"/>
      <w:lvlText w:val="%2."/>
      <w:lvlJc w:val="left"/>
      <w:pPr>
        <w:ind w:left="1440" w:hanging="360"/>
      </w:pPr>
    </w:lvl>
    <w:lvl w:ilvl="2" w:tplc="0159F760">
      <w:start w:val="1"/>
      <w:numFmt w:val="decimal"/>
      <w:lvlText w:val="%3."/>
      <w:lvlJc w:val="left"/>
      <w:pPr>
        <w:ind w:left="2160" w:hanging="360"/>
      </w:pPr>
    </w:lvl>
    <w:lvl w:ilvl="3" w:tplc="38D0A29A">
      <w:start w:val="1"/>
      <w:numFmt w:val="decimal"/>
      <w:lvlText w:val="%4."/>
      <w:lvlJc w:val="left"/>
      <w:pPr>
        <w:ind w:left="2880" w:hanging="360"/>
      </w:pPr>
    </w:lvl>
    <w:lvl w:ilvl="4" w:tplc="6123516B">
      <w:start w:val="1"/>
      <w:numFmt w:val="decimal"/>
      <w:lvlText w:val="%5."/>
      <w:lvlJc w:val="left"/>
      <w:pPr>
        <w:ind w:left="3600" w:hanging="360"/>
      </w:pPr>
    </w:lvl>
    <w:lvl w:ilvl="5" w:tplc="59F6335D">
      <w:start w:val="1"/>
      <w:numFmt w:val="decimal"/>
      <w:lvlText w:val="%6."/>
      <w:lvlJc w:val="left"/>
      <w:pPr>
        <w:ind w:left="4320" w:hanging="360"/>
      </w:pPr>
    </w:lvl>
    <w:lvl w:ilvl="6" w:tplc="016E0F21">
      <w:start w:val="1"/>
      <w:numFmt w:val="decimal"/>
      <w:lvlText w:val="%7."/>
      <w:lvlJc w:val="left"/>
      <w:pPr>
        <w:ind w:left="5040" w:hanging="360"/>
      </w:pPr>
    </w:lvl>
    <w:lvl w:ilvl="7" w:tplc="52DD4DAB">
      <w:start w:val="1"/>
      <w:numFmt w:val="decimal"/>
      <w:lvlText w:val="%8."/>
      <w:lvlJc w:val="left"/>
      <w:pPr>
        <w:ind w:left="5760" w:hanging="360"/>
      </w:pPr>
    </w:lvl>
    <w:lvl w:ilvl="8" w:tplc="6D39AD0A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74701C4D"/>
    <w:multiLevelType w:val="hybridMultilevel"/>
    <w:tmpl w:val="9F6453EC"/>
    <w:lvl w:ilvl="0" w:tplc="6A6B33C8">
      <w:start w:val="2"/>
      <w:numFmt w:val="decimal"/>
      <w:lvlText w:val="%1."/>
      <w:lvlJc w:val="left"/>
      <w:pPr>
        <w:ind w:left="720" w:hanging="360"/>
      </w:pPr>
    </w:lvl>
    <w:lvl w:ilvl="1" w:tplc="46C32FAE">
      <w:start w:val="1"/>
      <w:numFmt w:val="decimal"/>
      <w:lvlText w:val="%2."/>
      <w:lvlJc w:val="left"/>
      <w:pPr>
        <w:ind w:left="1440" w:hanging="360"/>
      </w:pPr>
    </w:lvl>
    <w:lvl w:ilvl="2" w:tplc="195E9B27">
      <w:start w:val="1"/>
      <w:numFmt w:val="decimal"/>
      <w:lvlText w:val="%3."/>
      <w:lvlJc w:val="left"/>
      <w:pPr>
        <w:ind w:left="2160" w:hanging="360"/>
      </w:pPr>
    </w:lvl>
    <w:lvl w:ilvl="3" w:tplc="46A4D046">
      <w:start w:val="1"/>
      <w:numFmt w:val="decimal"/>
      <w:lvlText w:val="%4."/>
      <w:lvlJc w:val="left"/>
      <w:pPr>
        <w:ind w:left="2880" w:hanging="360"/>
      </w:pPr>
    </w:lvl>
    <w:lvl w:ilvl="4" w:tplc="5908893A">
      <w:start w:val="1"/>
      <w:numFmt w:val="decimal"/>
      <w:lvlText w:val="%5."/>
      <w:lvlJc w:val="left"/>
      <w:pPr>
        <w:ind w:left="3600" w:hanging="360"/>
      </w:pPr>
    </w:lvl>
    <w:lvl w:ilvl="5" w:tplc="67621FC4">
      <w:start w:val="1"/>
      <w:numFmt w:val="decimal"/>
      <w:lvlText w:val="%6."/>
      <w:lvlJc w:val="left"/>
      <w:pPr>
        <w:ind w:left="4320" w:hanging="360"/>
      </w:pPr>
    </w:lvl>
    <w:lvl w:ilvl="6" w:tplc="4741B0B7">
      <w:start w:val="1"/>
      <w:numFmt w:val="decimal"/>
      <w:lvlText w:val="%7."/>
      <w:lvlJc w:val="left"/>
      <w:pPr>
        <w:ind w:left="5040" w:hanging="360"/>
      </w:pPr>
    </w:lvl>
    <w:lvl w:ilvl="7" w:tplc="2217D8CF">
      <w:start w:val="1"/>
      <w:numFmt w:val="decimal"/>
      <w:lvlText w:val="%8."/>
      <w:lvlJc w:val="left"/>
      <w:pPr>
        <w:ind w:left="5760" w:hanging="360"/>
      </w:pPr>
    </w:lvl>
    <w:lvl w:ilvl="8" w:tplc="63C16000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7BC84792"/>
    <w:multiLevelType w:val="hybridMultilevel"/>
    <w:tmpl w:val="A9C6A0B0"/>
    <w:lvl w:ilvl="0" w:tplc="2F608C80">
      <w:start w:val="2"/>
      <w:numFmt w:val="decimal"/>
      <w:lvlText w:val="%1."/>
      <w:lvlJc w:val="left"/>
      <w:pPr>
        <w:ind w:left="720" w:hanging="360"/>
      </w:pPr>
    </w:lvl>
    <w:lvl w:ilvl="1" w:tplc="5AB717E2">
      <w:start w:val="1"/>
      <w:numFmt w:val="decimal"/>
      <w:lvlText w:val="%2."/>
      <w:lvlJc w:val="left"/>
      <w:pPr>
        <w:ind w:left="1440" w:hanging="360"/>
      </w:pPr>
    </w:lvl>
    <w:lvl w:ilvl="2" w:tplc="148EA961">
      <w:start w:val="1"/>
      <w:numFmt w:val="decimal"/>
      <w:lvlText w:val="%3."/>
      <w:lvlJc w:val="left"/>
      <w:pPr>
        <w:ind w:left="2160" w:hanging="360"/>
      </w:pPr>
    </w:lvl>
    <w:lvl w:ilvl="3" w:tplc="3950EFC4">
      <w:start w:val="1"/>
      <w:numFmt w:val="decimal"/>
      <w:lvlText w:val="%4."/>
      <w:lvlJc w:val="left"/>
      <w:pPr>
        <w:ind w:left="2880" w:hanging="360"/>
      </w:pPr>
    </w:lvl>
    <w:lvl w:ilvl="4" w:tplc="2D7D69A0">
      <w:start w:val="1"/>
      <w:numFmt w:val="decimal"/>
      <w:lvlText w:val="%5."/>
      <w:lvlJc w:val="left"/>
      <w:pPr>
        <w:ind w:left="3600" w:hanging="360"/>
      </w:pPr>
    </w:lvl>
    <w:lvl w:ilvl="5" w:tplc="427524A4">
      <w:start w:val="1"/>
      <w:numFmt w:val="decimal"/>
      <w:lvlText w:val="%6."/>
      <w:lvlJc w:val="left"/>
      <w:pPr>
        <w:ind w:left="4320" w:hanging="360"/>
      </w:pPr>
    </w:lvl>
    <w:lvl w:ilvl="6" w:tplc="7222C8E4">
      <w:start w:val="1"/>
      <w:numFmt w:val="decimal"/>
      <w:lvlText w:val="%7."/>
      <w:lvlJc w:val="left"/>
      <w:pPr>
        <w:ind w:left="5040" w:hanging="360"/>
      </w:pPr>
    </w:lvl>
    <w:lvl w:ilvl="7" w:tplc="37F38047">
      <w:start w:val="1"/>
      <w:numFmt w:val="decimal"/>
      <w:lvlText w:val="%8."/>
      <w:lvlJc w:val="left"/>
      <w:pPr>
        <w:ind w:left="5760" w:hanging="360"/>
      </w:pPr>
    </w:lvl>
    <w:lvl w:ilvl="8" w:tplc="5AC960A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7FDF3C6B"/>
    <w:multiLevelType w:val="hybridMultilevel"/>
    <w:tmpl w:val="D3ECB3E2"/>
    <w:lvl w:ilvl="0" w:tplc="14873FEE">
      <w:start w:val="1"/>
      <w:numFmt w:val="decimal"/>
      <w:lvlText w:val="%1."/>
      <w:lvlJc w:val="left"/>
      <w:pPr>
        <w:ind w:left="720" w:hanging="360"/>
      </w:pPr>
    </w:lvl>
    <w:lvl w:ilvl="1" w:tplc="36CB3B90">
      <w:start w:val="1"/>
      <w:numFmt w:val="decimal"/>
      <w:lvlText w:val="%2."/>
      <w:lvlJc w:val="left"/>
      <w:pPr>
        <w:ind w:left="1440" w:hanging="360"/>
      </w:pPr>
    </w:lvl>
    <w:lvl w:ilvl="2" w:tplc="03418AE6">
      <w:start w:val="1"/>
      <w:numFmt w:val="decimal"/>
      <w:lvlText w:val="%3."/>
      <w:lvlJc w:val="left"/>
      <w:pPr>
        <w:ind w:left="2160" w:hanging="360"/>
      </w:pPr>
    </w:lvl>
    <w:lvl w:ilvl="3" w:tplc="0C4C2588">
      <w:start w:val="1"/>
      <w:numFmt w:val="decimal"/>
      <w:lvlText w:val="%4."/>
      <w:lvlJc w:val="left"/>
      <w:pPr>
        <w:ind w:left="2880" w:hanging="360"/>
      </w:pPr>
    </w:lvl>
    <w:lvl w:ilvl="4" w:tplc="11B53AD7">
      <w:start w:val="1"/>
      <w:numFmt w:val="decimal"/>
      <w:lvlText w:val="%5."/>
      <w:lvlJc w:val="left"/>
      <w:pPr>
        <w:ind w:left="3600" w:hanging="360"/>
      </w:pPr>
    </w:lvl>
    <w:lvl w:ilvl="5" w:tplc="0A6CD3E8">
      <w:start w:val="1"/>
      <w:numFmt w:val="decimal"/>
      <w:lvlText w:val="%6."/>
      <w:lvlJc w:val="left"/>
      <w:pPr>
        <w:ind w:left="4320" w:hanging="360"/>
      </w:pPr>
    </w:lvl>
    <w:lvl w:ilvl="6" w:tplc="01DE9434">
      <w:start w:val="1"/>
      <w:numFmt w:val="decimal"/>
      <w:lvlText w:val="%7."/>
      <w:lvlJc w:val="left"/>
      <w:pPr>
        <w:ind w:left="5040" w:hanging="360"/>
      </w:pPr>
    </w:lvl>
    <w:lvl w:ilvl="7" w:tplc="2C3F4E02">
      <w:start w:val="1"/>
      <w:numFmt w:val="decimal"/>
      <w:lvlText w:val="%8."/>
      <w:lvlJc w:val="left"/>
      <w:pPr>
        <w:ind w:left="5760" w:hanging="360"/>
      </w:pPr>
    </w:lvl>
    <w:lvl w:ilvl="8" w:tplc="71632B4C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D8"/>
    <w:rsid w:val="00BC629D"/>
    <w:rsid w:val="00CC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1BF4F74745B777E0542A48B8F46C5D80E7E94B55C4253DB3B756767653713C4613ED736E62D674s3PC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9980</Words>
  <Characters>56887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Анатолий ЭБ</cp:lastModifiedBy>
  <cp:revision>2</cp:revision>
  <dcterms:created xsi:type="dcterms:W3CDTF">2024-05-27T05:48:00Z</dcterms:created>
  <dcterms:modified xsi:type="dcterms:W3CDTF">2024-05-27T05:48:00Z</dcterms:modified>
</cp:coreProperties>
</file>